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Bilingual Retrieval-Augmented Access to ANVISA Regulatory Documents: A Technical Evaluation Using Drug-Development and Health-Product Questions</w:t>
      </w:r>
    </w:p>
    <w:p>
      <w:pPr/>
      <w:r>
        <w:t>Authors: Carlos Victor Montefusco-Pereira1*, Howard Lopes Ribeiro Junior2</w:t>
      </w:r>
    </w:p>
    <w:p>
      <w:pPr/>
      <w:r>
        <w:t>1 Independent Researcher in Data Science and Artificial Intelligence in Industrial Pharmaceutics, Berlin, Germany</w:t>
      </w:r>
    </w:p>
    <w:p>
      <w:pPr/>
      <w:r>
        <w:t>2 Center for Research and Drug Development (NPDM), Federal University of Ceará, Fortaleza 60430-275, Brazil; Post-Graduate Program in Pathology, Federal University of Ceará, Fortaleza, Brazil; Post-Graduate Program in Translational Medicine, Federal University of Ceará, Fortaleza, Brazil</w:t>
      </w:r>
    </w:p>
    <w:p>
      <w:pPr/>
      <w:r>
        <w:t>ORCID: Carlos Victor Montefusco-Pereira, 0000-0003-4167-4653; Howard Lopes Ribeiro Junior, 0000-0003-2431-4779</w:t>
      </w:r>
    </w:p>
    <w:p>
      <w:pPr/>
      <w:r>
        <w:t>Corresponding author: Carlos Victor Montefusco-Pereira. Friedrich-Wilhelm 28, 12103 Berlin, Germany. Email: cmontefusco@gmail.com. Phone: +49 15168108538.</w:t>
      </w:r>
    </w:p>
    <w:p>
      <w:pPr/>
      <w:r>
        <w:t>Keywords: regulatory science; ANVISA; retrieval-augmented generation; clinical trials; pharmacovigilance; biological products and medical devices</w:t>
      </w:r>
    </w:p>
    <w:p>
      <w:pPr/>
      <w:r>
        <w:t>Abbreviations: ANVISA, Agência Nacional de Vigilância Sanitária;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t>Abstract</w:t>
      </w:r>
    </w:p>
    <w:p>
      <w:pPr/>
      <w:r>
        <w:t>Background. Regulatory teams often need to interpret long health-authority documents while working across languages. In Brazil, many regulatory sources are published in Portuguese, while companies and scientists may ask questions in English.</w:t>
      </w:r>
    </w:p>
    <w:p>
      <w:pPr/>
      <w:r>
        <w:t>Objective. To evaluate whether a bilingual retrieval-augmented generation prototype could locate, cite, and summarize selected ANVISA regulatory requirements relevant to drug development and health-product regulation.</w:t>
      </w:r>
    </w:p>
    <w:p>
      <w:pPr/>
      <w:r>
        <w:t>Methods. Six ANVISA documents were indexed for bilingual retrieval and answer generation. Evaluations comprised 150 internal questions (75 bilingual pairs), 75 English and 75 Portuguese repair outputs reusing those questions, a 50-question diagnostic stress assessment (40 answerable; 10 unanswerable), 24 calibration questions (8 answerable; 16 unanswerable), and 30 post-calibration questions (12 answerable; 18 unanswerable). These 404 outputs represented 254 distinct question IDs; later sets also overlapped in content. An AI judge scored answer quality and refusal. We calculated 95% percentile bootstrap confidence intervals by resampling question pairs. An AI-assisted, unblinded coauthor review covered 94 selected historical outputs.</w:t>
      </w:r>
    </w:p>
    <w:p>
      <w:pPr/>
      <w:r>
        <w:t>Results. The index contained 382 articles and 481 chunks. Among 40 originally answerable stress-assessment outputs, mean completeness was 0.943 (95% CI 0.873–0.990) and citation correctness was 0.975 (0.925–1.000). After corresponding-author adjudication, appropriate refusals in the reviewed unanswerable strata were 4/4 stress outputs and 12/12 post-calibration outputs (2/2 and 6/6 bilingual pairs; exact pair-level 95% CIs 15.8–100.0% and 54.1–100.0%). Six outputs were reclassified answerable and twelve partly answerable. These are descriptive findings from AI-assisted, unblinded author review of development assessments; independent blinded validation remains outstanding.</w:t>
      </w:r>
    </w:p>
    <w:p>
      <w:pPr/>
      <w: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t>Introduction</w:t>
      </w:r>
    </w:p>
    <w:p>
      <w:pPr/>
      <w:r>
        <w:t>Drug-development decisions often begin with a narrow regulatory question. A sponsor may need to determine the documentation, notification deadlines and implementation conditions for suspending a Clinical Drug Development Dossier (DDCM) under RDC 945/2024, Articles 85 and 89 [7], and to establish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 This present-day suspension example refers to RDC 945/2024, rather than Article 50 of the revoked RDC 9/2015 used in some archived benchmark gold answers [7,8].</w:t>
      </w:r>
    </w:p>
    <w:p>
      <w:pPr/>
      <w: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t>Materials and Methods</w:t>
      </w:r>
    </w:p>
    <w:p>
      <w:pPr/>
      <w: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t>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baseline and repair runs, the first AI-authored diagnostic stress test, and a later refusal-focused AI-authored test. This separation is important because internal scores can be inflated when the same project team writes questions, reviews errors, and repairs the system.</w:t>
      </w:r>
    </w:p>
    <w:p>
      <w:pPr/>
      <w:r>
        <w:t>Regulatory corpus. The corpus included six selected ANVISA documents covering clinical trials, biological products, medical devices, pharmacovigilance, and reliance-based review [3-8]. The selected documents concern common drug-development and health-product topics; this selection did not establish that every indexed provision was in force at evaluation. The final corpus included IN 338/2024, RDC 406/2020, RDC 55/2010, RDC 751/2022, RDC 945/2024, and RDC 9/2015. Corpus composition and use cases are summarized in Table 1.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p>
    <w:p>
      <w:pPr/>
      <w:r>
        <w:t>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718/2022 for IN 338/2024, RDC 751/2022 and RDC 406/2020, respectively. Supplementary Table S9 records the source checks and their limits; whole-article exposure counts do not certify the remaining gold answers.</w:t>
      </w:r>
    </w:p>
    <w:p>
      <w:pPr/>
      <w: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r>
        <w:t>Development history and software provenance are provided in Supplementary Table S5 and the supplementary development provenance record.</w:t>
      </w:r>
    </w:p>
    <w:p>
      <w:pPr/>
      <w:r>
        <w:t>Answer generation and automated judging both requested models/gemini-flash-lite-latest, an unpinned alias. The archived records do not preserve the resolved backend model versions; the July runs therefore cannot be identified as Gemini 2.5 Flash-Lite from a documentation citation [15]. Initial answers were generated on 10 July 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 was absent. Embeddings used sentence-transformers/all-MiniLM-L6-v2 and reranking used cross-encoder/mmarco-mMiniLMv2-L12-H384-v1, with local cache snapshots recorded separately. Exact hosted-model replication is limited by the missing resolved versions.</w:t>
      </w:r>
    </w:p>
    <w:p>
      <w:pPr/>
      <w: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t>Article chunking used LlamaIndex’s default tiktoken cl100k_base tokenizer: articles up to 500 tokens remained intact; longer articles were sentence-split with a 400-token target and 60-token overlap. Heading context was then prepended. The six-source index contained 382 article records and 481 chunks: 359 articles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 maximum of 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 tokens. Only the 35 overlength nodes changed. The cached model reproduced all 481 archived vectors (minimum cosine similarity 0.99999976). All 160 answerable development questions (80 bilingual pairs) were evaluated with original queries; offline English 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 was subsequently completed with 300 answers and 300 automated evaluations. Figure 1 shows the workflow.</w:t>
      </w:r>
    </w:p>
    <w:p>
      <w:pPr/>
      <w: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r>
        <w:t>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p>
    <w:p>
      <w:r>
        <w:t>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p>
    <w:p>
      <w:pPr/>
      <w:r>
        <w:t>English retrieval used a deterministic glossary-expansion mode in the archived publication evaluator, rather than merely six illustrative anchors. This mode retains the English question, extracts regulatory identifiers and appends matched Portuguese terms from a 114-entry glossary. A separate Translator mode uses a model to rewrite into Portuguese and then appends glossary matches; its smoke-test output does not establish its use in the publication runs. The evaluator selects these modes explicitly and, in the audited glossary/original configuration, uses the original question for 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 to benchmark failures; the reused question sets are development data.</w:t>
      </w:r>
    </w:p>
    <w:p>
      <w:pPr/>
      <w: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t>Benchmark. The constructed main benchmark contained 200 question rows organized as 100 Portuguese–English pairs: 140 direct-article questions, 20 multi-article or exception questions, and 40 unanswerable or adversarial questions. Each language had 100 rows (80 answerable and 20 unanswerable). This construction total is distinct from the evaluated sample sizes. The initial internal evaluation used 150 rows, comprising 120 answerable and 30 unanswerable questions; its 75 English and 75 Portuguese questions were reused in the respective repair stages. Across all six reported stages there were 404 outputs and 254 distinct question IDs, without implying semantic independence of those IDs. The audit recorded 78 unique gold article citations. 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Benchmark structure and archived gold source coverage are shown in Figure 2; evaluated denominators are provided in Supplementary Table S7.</w:t>
      </w:r>
    </w:p>
    <w:p>
      <w:pPr/>
      <w: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t>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p>
    <w:p>
      <w:pPr/>
      <w: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t>Evaluation stages and leakage control. Development runs were used to identify and repair failures. 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 held-out test. Scores across these stages describe paired, within-language changes on reused development questions and do not establish generalization. When internal results became high, an AI-authored diagnostic stress test was run once to test whether the internal pattern generalized. Findings from this stress test 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was conducted after calibration and is interpreted as a diagnostic assessment within the same development programme, not independent validation.</w:t>
      </w:r>
    </w:p>
    <w:p>
      <w:pPr/>
      <w:r>
        <w:t>The first AI-authored diagnostic stress test contained 50 questions organized as 25 bilingual pairs. It included 40 answerable questions and 10 unanswerable or adversarial questions. The first AI-authored diagnostic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t>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p>
    <w:p>
      <w:pPr/>
      <w: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t>Streamlit interface. A Streamlit interface was built as a local user-facing prototype for interactive question answering. The app accepted a free-text regulatory question, passed it to the same retrieval and answer-generation pipeline used in the scripted evaluation, and displayed the generated answer together with retrieved source passages and article-level citation labels. The interface was used for runtime smoke testing and demonstration of the intended workflow, not as a separate evaluation dataset. A screenshot of a cited answer and retrieved sources is provided as Supplementary Figure 4.</w:t>
      </w:r>
    </w:p>
    <w:p>
      <w:r>
        <w:t>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p>
    <w:p>
      <w:r>
        <w:t>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p>
    <w:p>
      <w:r>
        <w:t>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p>
    <w:p>
      <w:r>
        <w:t>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p>
    <w:p>
      <w:r>
        <w:t>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p>
    <w:p>
      <w:r>
        <w:t>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p>
    <w:p>
      <w:pPr>
        <w:pStyle w:val="Heading1"/>
      </w:pPr>
      <w:r>
        <w:t>Results</w:t>
      </w:r>
    </w:p>
    <w:p>
      <w:pPr>
        <w:pStyle w:val="Heading2"/>
      </w:pPr>
      <w:r>
        <w:t>Corpus and benchmark construction</w:t>
      </w:r>
    </w:p>
    <w:p>
      <w:pPr/>
      <w:r>
        <w:t>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p>
    <w:p>
      <w:r>
        <w:t>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p>
    <w:p>
      <w:pPr/>
      <w:r>
        <w:t>The 200-question benchmark was balanced by language and included the intended mix of regulatory question types (Figure 2). Gold evidence covered 78 unique article citations. Distinct question-row counts were 28 each for RDC 9/2015, RDC 55/2010, RDC 751/2022 and RDC 406/2020, 26 for RDC 945/2024, and 22 for IN 338/2024. A question may cite more than one regulation. The original plotting input counted source entries within questions (30 rather than 28 for each of the first four regulations); the revised figure removes these within-question duplicates. Coverage describes the archived benchmark and does not establish regulatory validity, particularly for revoked RDC 9/2015. This structure was important because high performance on direct clinical-trial questions alone would not show whether the system handled rule-plus-exception or refusal boundaries.</w:t>
      </w:r>
    </w:p>
    <w:p>
      <w:pPr>
        <w:pStyle w:val="Heading2"/>
      </w:pPr>
      <w:r>
        <w:t>Retrieval baselines and component ablations</w:t>
      </w:r>
    </w:p>
    <w:p>
      <w:pPr/>
      <w:r>
        <w:t>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p>
    <w:p>
      <w:pPr/>
      <w:r>
        <w:t>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p>
    <w:p>
      <w:pPr>
        <w:pStyle w:val="Heading2"/>
      </w:pPr>
      <w:r>
        <w:t>Direct article questions</w:t>
      </w:r>
    </w:p>
    <w:p>
      <w:pPr/>
      <w: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t>Internal development metrics</w:t>
      </w:r>
    </w:p>
    <w:p>
      <w:pPr/>
      <w:r>
        <w:t>The initial internal baseline AI-judge evaluation showed high faithfulness but weaker completeness. Among 120 answerable internal baseline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t>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All 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 not evidence of performance on unseen questions. No paired significance test is reported. The row-level judge outputs and stage recommendations are reported in Supplementary Data S2.</w:t>
      </w:r>
    </w:p>
    <w:p>
      <w:pPr/>
      <w:r>
        <w:t>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diagnostic stress test was therefore run as a challenge to the internal pattern. Its refusal correctness of 0.700 showed that the internal 1.000 refusal result was too narrow for reliability claims. The archived AI-judge dossier records diagnostic recommendations, and subsequent refusal calibration reused stress-test content, and the saturated-metric investigation is summarized in Supplementary Table S6.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p>
    <w:p>
      <w:pPr>
        <w:pStyle w:val="Heading2"/>
      </w:pPr>
      <w:r>
        <w:t>Completeness errors</w:t>
      </w:r>
    </w:p>
    <w:p>
      <w:pPr/>
      <w: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t>AI-authored diagnostic stress test</w:t>
      </w:r>
    </w:p>
    <w:p>
      <w:pPr/>
      <w:r>
        <w:t>The first AI-authored diagnostic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t>The same test exposed refusal behavior as the main remaining weakness. Literal refusal detection for unanswerable/adversarial questions was 0.600, and AI-judge refusal correctness was 7/10 (0.700; 95% pair-cluster bootstrap CI 0.300–1.000; five pairs), using the archived labels before the subsequent author adjudication reported below.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t>Language-specific diagnostic-test results were similar but not identical. Among answerable diagnostic-test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t>Refusal calibration</w:t>
      </w:r>
    </w:p>
    <w:p>
      <w:pPr/>
      <w:r>
        <w:t>After the first AI-authored diagnostic stress test, refusal rules were revised using a 24-row calibration/development 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t>In the later refusal-focused AI-authored test, the system correctly refused 17 of 18 unanswerable questions by AI-judge scoring, giving refusal correctness 0.944 (95% pair-cluster bootstrap CI 0.833–1.000; nine pairs), using the archived labels before the subsequent author adjudication reported below. It did not over-refuse the answerable controls: answerable-control faithfulness was 1.000, citation correctness was 1.000, and completeness was 0.908 (95% CI 0.792–1.000; 12 outputs in six pairs). Figure 3B displays these descriptive results from different question sets. The post-calibration refusal score was higher, while answerable-control completeness was lower than in the first diagnostic stress test. Because the sets differ and the stress-test findings informed calibration, these contrasts do not isolate a calibration effect or establish performance on an independently authored test. The question-level judge rationales and remaining boundary failure are reported in Supplementary Data S2.</w:t>
      </w:r>
    </w:p>
    <w:p>
      <w:pPr/>
      <w:r>
        <w:t>The remaining boundary problem involved questions where the corpus contained a related general rule but not the exact requested fact. This is a regulatory risk because related evidence can sound persuasive while still being insufficient. These observations identify a remaining refusal boundary; they do not establish an independently validated improvement.</w:t>
      </w:r>
    </w:p>
    <w:p>
      <w:pPr>
        <w:pStyle w:val="Heading2"/>
      </w:pPr>
      <w:r>
        <w:t>Author verification of selected outputs</w:t>
      </w:r>
    </w:p>
    <w:p>
      <w:pPr/>
      <w:r>
        <w:t>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48.2–80.9%) at the 0.80 judge threshold: 37 both passed, one both failed, 16 passed the judge but failed author review, and four showed the reverse. Restricting completeness to the 46 questions the author classified as answerable yielded 37/46 agreement (80.4%; interval 63.8–93.6%). These different denominators distinguish rating disagreement from answerability changes.</w:t>
      </w:r>
    </w:p>
    <w:p>
      <w:pPr/>
      <w:r>
        <w:t>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p>
    <w:p>
      <w:r>
        <w:t>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p>
    <w:p>
      <w:r>
        <w:t>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p>
    <w:p>
      <w:r>
        <w:t>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15.8–100.0%, 47.8–100.0% and 54.1–100.0%,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p>
    <w:p>
      <w:r>
        <w:t>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p>
    <w:p>
      <w:r>
        <w:t>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p>
    <w:p>
      <w:r>
        <w:t>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p>
    <w:p>
      <w:r>
        <w:t>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p>
    <w:p>
      <w:r>
        <w:t>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p>
    <w:p>
      <w:r>
        <w:t>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p>
    <w:p>
      <w:r>
        <w:t>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p>
    <w:p>
      <w:pPr>
        <w:pStyle w:val="Heading2"/>
      </w:pPr>
      <w:r>
        <w:t>Summary of quantitative evaluation</w:t>
      </w:r>
    </w:p>
    <w:p>
      <w:pPr/>
      <w:r>
        <w:t>Across the development path, the main metrics changed in ways that affected the project interpretation. Initial internal baseline answer completeness was 0.808 overall for answerable rows, with English completeness 0.645. After targeted English repair, the English repair set reached completeness 0.995. After Portuguese residual-quality repair, the Portuguese repair set reached completeness 0.995. The repair stages reused the English and Portuguese subsets of the initial evaluation. These results therefore quantify changes on development questions used for repair and do not provide an independent estimate of generalization.</w:t>
      </w:r>
    </w:p>
    <w:p>
      <w:pPr/>
      <w:r>
        <w:t>The first AI-authored diagnostic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later post-calibration AI-authored diagnostic assessment had refusal correctness 0.944 and answerable-control completeness 0.908. Its questions differed from the first stress test, and the calibration set reused stress-test question content; the score contrast is descriptive rather than an independent estimate of improvement. Thus the main residual problem shifted from retrieval and language support to the boundary between partial related evidence and sufficient evidence.</w:t>
      </w:r>
    </w:p>
    <w:p>
      <w:pPr>
        <w:pStyle w:val="Heading1"/>
      </w:pPr>
      <w:r>
        <w:t>Discussion</w:t>
      </w:r>
    </w:p>
    <w:p>
      <w:pPr>
        <w:pStyle w:val="Heading2"/>
      </w:pPr>
      <w:r>
        <w:t>Interpretation of the development path</w:t>
      </w:r>
    </w:p>
    <w:p>
      <w:pPr/>
      <w:r>
        <w:t>The main finding is not that the system achieved high average scores. The main finding is that a bilingual RAG prototype can support traceable access to selected ANVISA documents when it is treated as a closed-corpus evidence-location tool rather than as a regulatory-advice system. This interpretation is consistent with the broader RAG literature, which frames retrieval as a way to connect generation to external evidence, and with prior regulatory work showing that generative AI search can cite useful sources while still producing incomplete or incorrect answers [1,2,9].</w:t>
      </w:r>
    </w:p>
    <w:p>
      <w:pPr/>
      <w:r>
        <w:t>The figures support that sequence rather than serving only as decoration. Figure 1 shows the engineering turn from a generic RAG scaffold to a closed, article-aware ANVISA pipeline. Figure 2 shows why the benchmark was not limited to easy article lookup: it mixed Portuguese and English questions, single-article questions, exception questions, and unanswerable or adversarial questions. Figure 3A then shows the development history after weak points were identified, while Figure 3B shows the later targeted repair of refusal behavior and the remaining completeness trade-off. Together, the figures make the main interpretation clearer: once article-aware indexing, hybrid retrieval, and reranking were in place, ordinary source retrieval was no longer the dominant weakness. The important question became whether the retrieved article was sufficient for the exact answer requested.</w:t>
      </w:r>
    </w:p>
    <w:p>
      <w:pPr/>
      <w: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t>Use in drug development and regulatory affairs</w:t>
      </w:r>
    </w:p>
    <w:p>
      <w:pPr/>
      <w: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t>Limitations and future work</w:t>
      </w:r>
    </w:p>
    <w:p>
      <w:pPr/>
      <w:r>
        <w:t>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generation and judging requested the same unpinned Gemini alias. Resolved backend versions were not archived, so exact replication and attribution of score differences solely to pipeline changes are not supported. An October 2026 preflight returned gemini-3.5-flash-lite; this does not identify the July backend or certify the model 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w:t>
      </w:r>
    </w:p>
    <w:p>
      <w:r>
        <w:t>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p>
    <w:p>
      <w:r>
        <w:t>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p>
    <w:p>
      <w:r>
        <w:t>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p>
    <w:p>
      <w:r>
        <w:t>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p>
    <w:p>
      <w:r>
        <w:t>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p>
    <w:p>
      <w:r>
        <w:t>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p>
    <w:p>
      <w:r>
        <w:t>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p>
    <w:p>
      <w:r>
        <w:t>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prospective author-led input set is now frozen, with answer generation pending, as described below. His coauthor role and earlier exposure prevent calling it independent external validation.</w:t>
      </w:r>
    </w:p>
    <w:p>
      <w:r>
        <w:t>A prospective author-led feasibility test of 20 bilingual pairs (40 rows; 12 answerable, four partly answerable and four unanswerable pairs) was frozen before answer generation on 30 October 2026. Questions and references were AI-authored after exposure to earlier development material and personally reviewed by coauthor H.L.R.J.; the corresponding author confirmed review of the final three pairs, including the Article 18 facilities alternative, on 29 October. The earlier plan for human-authored questions was not achieved and is disclosed as a protocol departure. No substantive reuse was identified in the final AI-assisted screening, which cannot certify semantic independence. Questions explicitly concern named archived regulatory texts; the unchanged six-document index may retrieve historical or other-document passages, which do not substitute for support from the named regulation. Questions, classifications, references, source eligibility and the original pipeline were hashed before any answers. No validation answers or new outcome ratings have yet been produced. Supplementary audit S26 records the freeze and approval provenance; the study is author-led, not independent external validation.</w:t>
      </w:r>
    </w:p>
    <w:p>
      <w:r>
        <w:t>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p>
    <w:p>
      <w:pPr/>
      <w:r>
        <w:t>The 1.000 values are therefore reported as part of the quality story, not as a claim of perfection. The initial internal set was subsequently reused for language-specific repairs and cannot serve as an independent held-out test. Internal refusal correctness reached 1.000, and some post-repair judge scores approached or reached 1.000, but those values came after benchmark construction, error review, and targeted repair. The first AI-authored diagnostic stress test challenged the saturated internal values, and its findings subsequently informed refusal calibration. Its question content also recurred in the calibration set, so it did not remain independent of subsequent development. It contradicted the internal refusal result: refusal correctness fell to 0.700 even while answerable-question retrieval and grounding remained strong. Figure 3A should therefore be read as development history, and Figure 3B as a descriptive comparison of diagnostic assessments before and after calibration on overlapping development content. The higher refusal score and lower answerable-control completeness do not establish a causal calibration effect or independent generalization. The most defensible claim is limited but useful. The system can help locate and summarize evidence in selected ANVISA documents, provided users verify the cited article and treat refusal boundaries seriously.</w:t>
      </w:r>
    </w:p>
    <w:p>
      <w:pPr/>
      <w:r>
        <w:t>Future studies should test the system with regulatory-affairs users and measure whether it reduces time to locate evidence without increasing overconfidence. A stronger validation study should include independent expert review of selected answers, blinded error classification, and a new test authored by people who have not seen the development questions, prompt, or failure review, with model and prompt settings frozen before evaluation. It should also compare the system with standard document search. The corpus should also be expanded and versioned so users can see when a question requires current information outside the indexed corpus.</w:t>
      </w:r>
    </w:p>
    <w:p>
      <w:pPr>
        <w:pStyle w:val="Heading1"/>
      </w:pPr>
      <w:r>
        <w:t>Conclusion</w:t>
      </w:r>
    </w:p>
    <w:p>
      <w:pPr>
        <w:keepLines/>
      </w:pPr>
      <w: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t>Declarations</w:t>
      </w:r>
    </w:p>
    <w:p>
      <w:pPr>
        <w:keepNext/>
        <w:keepLines/>
      </w:pPr>
      <w:r>
        <w:t>Funding: The authors received no specific funding for this work.</w:t>
      </w:r>
    </w:p>
    <w:p>
      <w:pPr>
        <w:keepNext/>
        <w:keepLines/>
      </w:pPr>
      <w:r>
        <w:t>Conflict of Interest: The authors declare no competing financial interests.</w:t>
      </w:r>
    </w:p>
    <w:p>
      <w:pPr>
        <w:keepNext/>
        <w:keepLines/>
      </w:pPr>
      <w:r>
        <w:t>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pPr>
        <w:keepNext/>
        <w:keepLines/>
      </w:pPr>
      <w:r>
        <w:t>Data Availability: The code, benchmark manifests, generated outputs, prompts, and non-restricted derived artifacts are archived in a private project repository during manuscript preparation and will be made publicly available on GitHub after manuscript acceptance. Files needed for peer review are included as supplementary materials. Official ANVISA source URLs, source-file checksums, and the cleaning script are provided in the source 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t>
      </w:r>
    </w:p>
    <w:p>
      <w:pPr>
        <w:keepNext/>
        <w:keepLines/>
      </w:pPr>
      <w:r>
        <w:t>Ethics Approval: Not required because the study used public regulatory documents and generated benchmark questions. No human participants, patient data, animal data, or clinical trial data were used.</w:t>
      </w:r>
    </w:p>
    <w:p>
      <w:r>
        <w:t>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p>
    <w:p>
      <w:pPr>
        <w:keepNext w:val="0"/>
        <w:keepLines/>
      </w:pPr>
      <w:r>
        <w:t>Clinical Trial Registration: Not applicable.</w:t>
      </w:r>
    </w:p>
    <w:p>
      <w:pPr>
        <w:pStyle w:val="Heading1"/>
        <w:pageBreakBefore/>
        <w:spacing w:after="0" w:before="0" w:line="240" w:lineRule="auto"/>
      </w:pPr>
      <w:r>
        <w:t>References</w:t>
      </w:r>
    </w:p>
    <w:p>
      <w:pPr>
        <w:spacing w:after="0" w:line="240" w:lineRule="auto" w:before="0"/>
      </w:pPr>
      <w:r>
        <w:rPr>
          <w:sz w:val="22"/>
        </w:rPr>
        <w:t>1. Lewis P, Perez E, Piktus A, et al. Retrieval-Augmented Generation for Knowledge-Intensive NLP Tasks. Advances in Neural Information Processing Systems. 2020;33:9459-9474.</w:t>
      </w:r>
    </w:p>
    <w:p>
      <w:pPr>
        <w:spacing w:after="0" w:line="240" w:lineRule="auto" w:before="0"/>
      </w:pPr>
      <w:r>
        <w:rPr>
          <w:sz w:val="22"/>
        </w:rPr>
        <w:t>2. Proestel S, Jeng LJB, Smith C, et al. Semantic Search of FDA Guidance Documents Using Generative AI. Ther Innov Regul Sci. 2025;59(5):1148-1159. doi:10.1007/s43441-025-00798-8.</w:t>
      </w:r>
    </w:p>
    <w:p>
      <w:pPr>
        <w:spacing w:after="0" w:line="240" w:lineRule="auto" w:before="0"/>
      </w:pPr>
      <w:r>
        <w:rPr>
          <w:sz w:val="22"/>
        </w:rPr>
        <w:t>3. Agência Nacional de Vigilância Sanitária. Instrução Normativa - IN No. 338, de 29 de novembro de 2024. Establishes the list of equivalent foreign regulatory authorities and criteria for optimized review under RDC 945/2024. AnvisaLegis. Accessed 19 July 2026.</w:t>
      </w:r>
    </w:p>
    <w:p>
      <w:pPr>
        <w:spacing w:after="0" w:line="240" w:lineRule="auto" w:before="0"/>
      </w:pPr>
      <w:r>
        <w:rPr>
          <w:sz w:val="22"/>
        </w:rPr>
        <w:t>4. Agência Nacional de Vigilância Sanitária. Resolução de Diretoria Colegiada - RDC No. 406, de 22 de julho de 2020. Good pharmacovigilance practices for holders of human medicine registrations. AnvisaLegis. Accessed 19 July 2026.</w:t>
      </w:r>
    </w:p>
    <w:p>
      <w:pPr>
        <w:spacing w:after="0" w:line="240" w:lineRule="auto" w:before="0"/>
      </w:pPr>
      <w:r>
        <w:rPr>
          <w:sz w:val="22"/>
        </w:rPr>
        <w:t>5. Agência Nacional de Vigilância Sanitária. Resolução - RDC No. 55, de 16 de dezembro de 2010. Registration of new biological products and biological products. AnvisaLegis. Accessed 19 July 2026.</w:t>
      </w:r>
    </w:p>
    <w:p>
      <w:pPr>
        <w:spacing w:after="0" w:line="240" w:lineRule="auto" w:before="0"/>
      </w:pPr>
      <w:r>
        <w:rPr>
          <w:sz w:val="22"/>
        </w:rPr>
        <w:t>6. Agência Nacional de Vigilância Sanitária. Resolução - RDC No. 751, de 15 de setembro de 2022. Medical-device risk classification, notification and registration regimes, labelling, and instructions for use. AnvisaLegis. Accessed 19 July 2026.</w:t>
      </w:r>
    </w:p>
    <w:p>
      <w:pPr>
        <w:spacing w:after="0" w:line="240" w:lineRule="auto" w:before="0"/>
      </w:pPr>
      <w:r>
        <w:rPr>
          <w:sz w:val="22"/>
        </w:rPr>
        <w:t>7. Agência Nacional de Vigilância Sanitária. Resolução da Diretoria Colegiada Anvisa No. 945, de 29 de novembro de 2024. Guidelines and procedures for clinical trials for later medicine registration. AnvisaLegis. Accessed 19 July 2026.</w:t>
      </w:r>
    </w:p>
    <w:p>
      <w:pPr>
        <w:spacing w:after="0" w:line="240" w:lineRule="auto" w:before="0"/>
      </w:pPr>
      <w:r>
        <w:rPr>
          <w:sz w:val="22"/>
        </w:rPr>
        <w:t>8. Agência Nacional de Vigilância Sanitária. Resolução RDC No. 9, de 20 de fevereiro de 2015. Regulation for clinical trials with medicines in Brazil. AnvisaLegis. Accessed 19 July 2026.</w:t>
      </w:r>
    </w:p>
    <w:p>
      <w:pPr>
        <w:spacing w:after="0" w:line="240" w:lineRule="auto" w:before="0"/>
      </w:pPr>
      <w:r>
        <w:rPr>
          <w:sz w:val="22"/>
        </w:rPr>
        <w:t>9. Gao Y, Xiong Y, Gao X, et al. Retrieval-Augmented Generation for Large Language Models: A Survey. arXiv. 2023. doi:10.48550/arXiv.2312.10997.</w:t>
      </w:r>
    </w:p>
    <w:p>
      <w:pPr>
        <w:spacing w:after="0" w:line="240" w:lineRule="auto" w:before="0"/>
      </w:pPr>
      <w:r>
        <w:rPr>
          <w:sz w:val="22"/>
        </w:rPr>
        <w:t>10. Es S, James J, Espinosa-Anke L, Schockaert S. RAGAS: Automated Evaluation of Retrieval Augmented Generation. arXiv. 2023. doi:10.48550/arXiv.2309.15217.</w:t>
      </w:r>
    </w:p>
    <w:p>
      <w:pPr>
        <w:spacing w:after="0" w:line="240" w:lineRule="auto" w:before="0"/>
      </w:pPr>
      <w:r>
        <w:rPr>
          <w:sz w:val="22"/>
        </w:rPr>
        <w:t>11. Reimers N, Gurevych I. Sentence-BERT: Sentence Embeddings using Siamese BERT-Networks. In: Proceedings of EMNLP-IJCNLP. Association for Computational Linguistics; 2019:3982-3992. doi:10.18653/v1/D19-1410.</w:t>
      </w:r>
    </w:p>
    <w:p>
      <w:pPr>
        <w:spacing w:after="0" w:line="240" w:lineRule="auto" w:before="0"/>
      </w:pPr>
      <w:r>
        <w:rPr>
          <w:sz w:val="22"/>
        </w:rPr>
        <w:t>12. Robertson S, Zaragoza H. The Probabilistic Relevance Framework: BM25 and Beyond. Foundations and Trends in Information Retrieval. 2009;3(4):333-389. doi:10.1561/1500000019.</w:t>
      </w:r>
    </w:p>
    <w:p>
      <w:pPr>
        <w:spacing w:after="0" w:line="240" w:lineRule="auto" w:before="0"/>
      </w:pPr>
      <w:r>
        <w:rPr>
          <w:sz w:val="22"/>
        </w:rPr>
        <w:t>13. Bonifacio L, Jeronymo V, Abonizio HQ, Campiotti I, Fadaee M, Lotufo R, Nogueira R. mMARCO: A Multilingual Version of the MS MARCO Passage Ranking Dataset. arXiv. 2021. doi:10.48550/arXiv.2108.13897.</w:t>
      </w:r>
    </w:p>
    <w:p>
      <w:pPr>
        <w:spacing w:after="0" w:line="240" w:lineRule="auto" w:before="0"/>
      </w:pPr>
      <w:r>
        <w:rPr>
          <w:sz w:val="22"/>
        </w:rPr>
        <w:t>14. LlamaIndex. LlamaIndex: a data framework for LLM applications. GitHub repository. https://github.com/run-llama/llama_index. Accessed 21 July 2026.</w:t>
      </w:r>
    </w:p>
    <w:p>
      <w:pPr>
        <w:spacing w:after="0" w:line="240" w:lineRule="auto" w:before="0"/>
      </w:pPr>
      <w:r>
        <w:rPr>
          <w:sz w:val="22"/>
        </w:rPr>
        <w:t>15. Google AI for Developers. Gemini API models and GenerateContentResponse reference. https://ai.google.dev/gemini-api/docs/models; https://ai.google.dev/api/generate-content. Accessed 24 October 2026.</w:t>
      </w:r>
    </w:p>
    <w:p>
      <w:pPr>
        <w:spacing w:after="0" w:line="240" w:lineRule="auto" w:before="0"/>
      </w:pPr>
      <w:r>
        <w:rPr>
          <w:sz w:val="22"/>
        </w:rPr>
        <w:t>16. Chang Y, Wang X, Wang J, et al. A Survey on Evaluation of Large Language Models. ACM Transactions on Intelligent Systems and Technology. 2024;15(3). doi:10.1145/3641289.</w:t>
      </w:r>
    </w:p>
    <w:p>
      <w:pPr>
        <w:spacing w:after="0" w:line="240" w:lineRule="auto" w:before="0"/>
      </w:pPr>
      <w:r>
        <w:rPr>
          <w:sz w:val="22"/>
        </w:rPr>
        <w:t>17. Zheng L, Chiang WL, Sheng Y, et al. Judging LLM-as-a-Judge with MT-Bench and Chatbot Arena. Advances in Neural Information Processing Systems. 2023;36.</w:t>
      </w:r>
    </w:p>
    <w:p>
      <w:pPr>
        <w:spacing w:after="0" w:line="240" w:lineRule="auto" w:before="0"/>
      </w:pPr>
      <w:r>
        <w:rPr>
          <w:sz w:val="22"/>
        </w:rPr>
        <w:t>18. Agência Nacional de Vigilância Sanitária. Resolução da Diretoria Colegiada - RDC No. 875, de 28 de maio de 2024. Complementary requirements for registration of biosimilars through comparability. AnvisaLegis. Accessed 23 October 2026.</w:t>
      </w:r>
    </w:p>
    <w:p>
      <w:pPr>
        <w:spacing w:after="0" w:line="240" w:lineRule="auto" w:before="0"/>
      </w:pPr>
      <w:r>
        <w:rPr>
          <w:sz w:val="22"/>
        </w:rPr>
        <w:t>19. Agência Nacional de Vigilância Sanitária. Resolução - RDC No. 948, de 12 de dezembro de 2024. General sanitary requirements for regularization of human medicines. Consolidated text. AnvisaLegis. Accessed 23 October 2026.</w:t>
      </w:r>
    </w:p>
    <w:p>
      <w:pPr>
        <w:spacing w:after="0" w:line="240" w:lineRule="auto" w:before="0"/>
      </w:pPr>
      <w:r>
        <w:rPr>
          <w:sz w:val="22"/>
        </w:rPr>
        <w:t>20. Sentence Transformers. all-MiniLM-L6-v2 model card. https://huggingface.co/sentence-transformers/all-MiniLM-L6-v2. Accessed 25 October 2026.</w:t>
      </w:r>
    </w:p>
    <w:p>
      <w:pPr>
        <w:spacing w:after="0" w:line="240" w:lineRule="auto" w:before="0"/>
      </w:pPr>
      <w:r>
        <w:rPr>
          <w:sz w:val="22"/>
        </w:rPr>
        <w:t>21. Sentence Transformers. Pretrained models and multilingual models. https://sbert.net/docs/sentence_transformer/pretrained_models.html. Accessed 25 October 2026.</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