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7365D"/>
          <w:sz w:val="46"/>
        </w:rPr>
        <w:t>Response to the Editor and Reviewers</w:t>
      </w:r>
    </w:p>
    <w:p>
      <w:pPr>
        <w:spacing w:after="80"/>
      </w:pPr>
      <w:r>
        <w:rPr>
          <w:rFonts w:ascii="Calibri" w:hAnsi="Calibri"/>
          <w:b w:val="0"/>
          <w:i w:val="0"/>
          <w:color w:val="555555"/>
          <w:sz w:val="23"/>
        </w:rPr>
        <w:t>Manuscript FEMSLE-26-06-0203 | Minor revision</w:t>
      </w:r>
    </w:p>
    <w:p>
      <w:pPr>
        <w:spacing w:after="240"/>
      </w:pPr>
      <w:r>
        <w:rPr>
          <w:rFonts w:ascii="Calibri" w:hAnsi="Calibri"/>
          <w:b/>
          <w:i w:val="0"/>
          <w:color w:val="555555"/>
          <w:sz w:val="20"/>
        </w:rPr>
        <w:t xml:space="preserve">Manuscript: </w:t>
      </w:r>
      <w:r>
        <w:rPr>
          <w:rFonts w:ascii="Calibri" w:hAnsi="Calibri"/>
          <w:b w:val="0"/>
          <w:i/>
          <w:color w:val="555555"/>
          <w:sz w:val="20"/>
        </w:rPr>
        <w:t>Known QAC determinants outperform genome language model embeddings in a leakage-aware public Listeria benzalkonium chloride tolerance benchmark</w:t>
      </w:r>
    </w:p>
    <w:tbl>
      <w:tblPr>
        <w:tblW w:type="auto" w:w="0"/>
        <w:jc w:val="left"/>
        <w:tblLayout w:type="fixed"/>
        <w:tblLook w:firstColumn="1" w:firstRow="1" w:lastColumn="0" w:lastRow="0" w:noHBand="0" w:noVBand="1" w:val="04A0"/>
      </w:tblPr>
      <w:tblGrid>
        <w:gridCol w:w="2469"/>
        <w:gridCol w:w="2469"/>
        <w:gridCol w:w="2469"/>
        <w:gridCol w:w="2469"/>
      </w:tblGrid>
      <w:tr>
        <w:tc>
          <w:tcPr>
            <w:tcW w:type="dxa" w:w="1512"/>
            <w:vAlign w:val="center"/>
            <w:tcMar>
              <w:top w:w="90" w:type="dxa"/>
              <w:start w:w="120" w:type="dxa"/>
              <w:bottom w:w="90" w:type="dxa"/>
              <w:end w:w="120" w:type="dxa"/>
            </w:tcMar>
            <w:shd w:fill="1F4D78"/>
          </w:tcPr>
          <w:p>
            <w:pPr>
              <w:spacing w:after="0"/>
            </w:pPr>
            <w:r/>
            <w:r>
              <w:rPr>
                <w:rFonts w:ascii="Calibri" w:hAnsi="Calibri"/>
                <w:b/>
                <w:i w:val="0"/>
                <w:color w:val="FFFFFF"/>
                <w:sz w:val="19"/>
              </w:rPr>
              <w:t>Decision</w:t>
            </w:r>
          </w:p>
        </w:tc>
        <w:tc>
          <w:tcPr>
            <w:tcW w:type="dxa" w:w="3240"/>
            <w:vAlign w:val="center"/>
            <w:tcMar>
              <w:top w:w="90" w:type="dxa"/>
              <w:start w:w="120" w:type="dxa"/>
              <w:bottom w:w="90" w:type="dxa"/>
              <w:end w:w="120" w:type="dxa"/>
            </w:tcMar>
            <w:shd w:fill="F2F4F7"/>
          </w:tcPr>
          <w:p>
            <w:pPr>
              <w:spacing w:after="0"/>
            </w:pPr>
            <w:r/>
            <w:r>
              <w:rPr>
                <w:rFonts w:ascii="Calibri" w:hAnsi="Calibri"/>
                <w:b w:val="0"/>
                <w:i w:val="0"/>
                <w:color w:val="000000"/>
                <w:sz w:val="19"/>
              </w:rPr>
              <w:t>Minor revision</w:t>
            </w:r>
          </w:p>
        </w:tc>
        <w:tc>
          <w:tcPr>
            <w:tcW w:type="dxa" w:w="1512"/>
            <w:vAlign w:val="center"/>
            <w:tcMar>
              <w:top w:w="90" w:type="dxa"/>
              <w:start w:w="120" w:type="dxa"/>
              <w:bottom w:w="90" w:type="dxa"/>
              <w:end w:w="120" w:type="dxa"/>
            </w:tcMar>
            <w:shd w:fill="1F4D78"/>
          </w:tcPr>
          <w:p>
            <w:pPr>
              <w:spacing w:after="0"/>
            </w:pPr>
            <w:r/>
            <w:r>
              <w:rPr>
                <w:rFonts w:ascii="Calibri" w:hAnsi="Calibri"/>
                <w:b/>
                <w:i w:val="0"/>
                <w:color w:val="FFFFFF"/>
                <w:sz w:val="19"/>
              </w:rPr>
              <w:t>Due date</w:t>
            </w:r>
          </w:p>
        </w:tc>
        <w:tc>
          <w:tcPr>
            <w:tcW w:type="dxa" w:w="3240"/>
            <w:vAlign w:val="center"/>
            <w:tcMar>
              <w:top w:w="90" w:type="dxa"/>
              <w:start w:w="120" w:type="dxa"/>
              <w:bottom w:w="90" w:type="dxa"/>
              <w:end w:w="120" w:type="dxa"/>
            </w:tcMar>
            <w:shd w:fill="F2F4F7"/>
          </w:tcPr>
          <w:p>
            <w:pPr>
              <w:spacing w:after="0"/>
            </w:pPr>
            <w:r/>
            <w:r>
              <w:rPr>
                <w:rFonts w:ascii="Calibri" w:hAnsi="Calibri"/>
                <w:b w:val="0"/>
                <w:i w:val="0"/>
                <w:color w:val="000000"/>
                <w:sz w:val="19"/>
              </w:rPr>
              <w:t>8 September 2026 (EDT)</w:t>
            </w:r>
          </w:p>
        </w:tc>
      </w:tr>
      <w:tr>
        <w:tc>
          <w:tcPr>
            <w:tcW w:type="dxa" w:w="1512"/>
            <w:vAlign w:val="center"/>
            <w:tcMar>
              <w:top w:w="90" w:type="dxa"/>
              <w:start w:w="120" w:type="dxa"/>
              <w:bottom w:w="90" w:type="dxa"/>
              <w:end w:w="120" w:type="dxa"/>
            </w:tcMar>
            <w:shd w:fill="1F4D78"/>
          </w:tcPr>
          <w:p>
            <w:pPr>
              <w:spacing w:after="0"/>
            </w:pPr>
            <w:r/>
            <w:r>
              <w:rPr>
                <w:rFonts w:ascii="Calibri" w:hAnsi="Calibri"/>
                <w:b/>
                <w:i w:val="0"/>
                <w:color w:val="FFFFFF"/>
                <w:sz w:val="19"/>
              </w:rPr>
              <w:t>Required files</w:t>
            </w:r>
          </w:p>
        </w:tc>
        <w:tc>
          <w:tcPr>
            <w:tcW w:type="dxa" w:w="3240"/>
            <w:vAlign w:val="center"/>
            <w:tcMar>
              <w:top w:w="90" w:type="dxa"/>
              <w:start w:w="120" w:type="dxa"/>
              <w:bottom w:w="90" w:type="dxa"/>
              <w:end w:w="120" w:type="dxa"/>
            </w:tcMar>
            <w:shd w:fill="F2F4F7"/>
          </w:tcPr>
          <w:p>
            <w:pPr>
              <w:spacing w:after="0"/>
            </w:pPr>
            <w:r/>
            <w:r>
              <w:rPr>
                <w:rFonts w:ascii="Calibri" w:hAnsi="Calibri"/>
                <w:b w:val="0"/>
                <w:i w:val="0"/>
                <w:color w:val="000000"/>
                <w:sz w:val="19"/>
              </w:rPr>
              <w:t>Anonymous response</w:t>
            </w:r>
          </w:p>
        </w:tc>
        <w:tc>
          <w:tcPr>
            <w:tcW w:type="dxa" w:w="1512"/>
            <w:vAlign w:val="center"/>
            <w:tcMar>
              <w:top w:w="90" w:type="dxa"/>
              <w:start w:w="120" w:type="dxa"/>
              <w:bottom w:w="90" w:type="dxa"/>
              <w:end w:w="120" w:type="dxa"/>
            </w:tcMar>
            <w:shd w:fill="1F4D78"/>
          </w:tcPr>
          <w:p>
            <w:pPr>
              <w:spacing w:after="0"/>
            </w:pPr>
            <w:r/>
            <w:r>
              <w:rPr>
                <w:rFonts w:ascii="Calibri" w:hAnsi="Calibri"/>
                <w:b/>
                <w:i w:val="0"/>
                <w:color w:val="FFFFFF"/>
                <w:sz w:val="19"/>
              </w:rPr>
              <w:t>Also required</w:t>
            </w:r>
          </w:p>
        </w:tc>
        <w:tc>
          <w:tcPr>
            <w:tcW w:type="dxa" w:w="3240"/>
            <w:vAlign w:val="center"/>
            <w:tcMar>
              <w:top w:w="90" w:type="dxa"/>
              <w:start w:w="120" w:type="dxa"/>
              <w:bottom w:w="90" w:type="dxa"/>
              <w:end w:w="120" w:type="dxa"/>
            </w:tcMar>
            <w:shd w:fill="F2F4F7"/>
          </w:tcPr>
          <w:p>
            <w:pPr>
              <w:spacing w:after="0"/>
            </w:pPr>
            <w:r/>
            <w:r>
              <w:rPr>
                <w:rFonts w:ascii="Calibri" w:hAnsi="Calibri"/>
                <w:b w:val="0"/>
                <w:i w:val="0"/>
                <w:color w:val="000000"/>
                <w:sz w:val="19"/>
              </w:rPr>
              <w:t>Tracked-changes manuscript</w:t>
            </w:r>
          </w:p>
        </w:tc>
      </w:tr>
    </w:tbl>
    <w:p>
      <w:pPr>
        <w:pStyle w:val="Heading1"/>
      </w:pPr>
      <w:r>
        <w:t>Opening statement</w:t>
      </w:r>
    </w:p>
    <w:p>
      <w:r>
        <w:rPr>
          <w:rFonts w:ascii="Calibri" w:hAnsi="Calibri"/>
          <w:b w:val="0"/>
          <w:i w:val="0"/>
          <w:color w:val="000000"/>
          <w:sz w:val="21"/>
        </w:rPr>
        <w:t>Dear Editor and Reviewers,</w:t>
      </w:r>
    </w:p>
    <w:p>
      <w:r>
        <w:t>Thank you for the careful and constructive evaluation of our manuscript. We have revised the manuscript to clarify the scope of the public 197-isolate benchmark, distinguish sequence-fragment classification from phenotype prediction, explicitly label the non-Listeria screen as exploratory bioinformatic prioritization, condense the pharmaceutical-water material, and sharpen the novelty around leakage-aware validation and the role of genome language models as secondary evidence. We also audited scientific nomenclature, gene-symbol presentation, references, figures, tables, and accessibility text. Our point-by-point responses are provided below. All manuscript locations should be updated after the tracked-changes version is finalized.</w:t>
      </w:r>
    </w:p>
    <w:p>
      <w:pPr>
        <w:pStyle w:val="Heading1"/>
      </w:pPr>
      <w:r>
        <w:t>Editor requirements</w:t>
      </w:r>
    </w:p>
    <w:p>
      <w:pPr>
        <w:pStyle w:val="ListBullet"/>
      </w:pPr>
      <w:r>
        <w:rPr>
          <w:rFonts w:ascii="Calibri" w:hAnsi="Calibri"/>
          <w:b/>
          <w:i w:val="0"/>
          <w:color w:val="000000"/>
          <w:sz w:val="21"/>
        </w:rPr>
        <w:t xml:space="preserve">Anonymous response: </w:t>
      </w:r>
      <w:r>
        <w:rPr>
          <w:rFonts w:ascii="Calibri" w:hAnsi="Calibri"/>
          <w:b w:val="0"/>
          <w:i w:val="0"/>
          <w:color w:val="000000"/>
          <w:sz w:val="21"/>
        </w:rPr>
        <w:t>Remove author names, affiliations, emails, telephone numbers, signatures, acknowledgements that identify responders, and identifying document metadata.</w:t>
      </w:r>
    </w:p>
    <w:p>
      <w:pPr>
        <w:pStyle w:val="ListBullet"/>
      </w:pPr>
      <w:r>
        <w:rPr>
          <w:rFonts w:ascii="Calibri" w:hAnsi="Calibri"/>
          <w:b/>
          <w:i w:val="0"/>
          <w:color w:val="000000"/>
          <w:sz w:val="21"/>
        </w:rPr>
        <w:t xml:space="preserve">Tracked-changes manuscript: </w:t>
      </w:r>
      <w:r>
        <w:rPr>
          <w:rFonts w:ascii="Calibri" w:hAnsi="Calibri"/>
          <w:b w:val="0"/>
          <w:i w:val="0"/>
          <w:color w:val="000000"/>
          <w:sz w:val="21"/>
        </w:rPr>
        <w:t>Upload a version showing all revisions. Ensure Word comment balloons contain no author name or other identifier.</w:t>
      </w:r>
    </w:p>
    <w:p>
      <w:pPr>
        <w:pStyle w:val="ListBullet"/>
      </w:pPr>
      <w:r>
        <w:rPr>
          <w:rFonts w:ascii="Calibri" w:hAnsi="Calibri"/>
          <w:b/>
          <w:i w:val="0"/>
          <w:color w:val="000000"/>
          <w:sz w:val="21"/>
        </w:rPr>
        <w:t xml:space="preserve">Clean manuscript: </w:t>
      </w:r>
      <w:r>
        <w:rPr>
          <w:rFonts w:ascii="Calibri" w:hAnsi="Calibri"/>
          <w:b w:val="0"/>
          <w:i w:val="0"/>
          <w:color w:val="000000"/>
          <w:sz w:val="21"/>
        </w:rPr>
        <w:t>Prepare a clean revised manuscript in addition to the tracked version if the submission system requests it.</w:t>
      </w:r>
    </w:p>
    <w:p>
      <w:pPr>
        <w:pStyle w:val="ListBullet"/>
      </w:pPr>
      <w:r>
        <w:rPr>
          <w:rFonts w:ascii="Calibri" w:hAnsi="Calibri"/>
          <w:b/>
          <w:i w:val="0"/>
          <w:color w:val="000000"/>
          <w:sz w:val="21"/>
        </w:rPr>
        <w:t xml:space="preserve">Figure alt text: </w:t>
      </w:r>
      <w:r>
        <w:rPr>
          <w:rFonts w:ascii="Calibri" w:hAnsi="Calibri"/>
          <w:b w:val="0"/>
          <w:i w:val="0"/>
          <w:color w:val="000000"/>
          <w:sz w:val="21"/>
        </w:rPr>
        <w:t>Add a short alternative-text description under every figure legend, including multi-panel figures.</w:t>
      </w:r>
    </w:p>
    <w:p>
      <w:pPr>
        <w:pStyle w:val="ListBullet"/>
      </w:pPr>
      <w:r>
        <w:rPr>
          <w:rFonts w:ascii="Calibri" w:hAnsi="Calibri"/>
          <w:b/>
          <w:i w:val="0"/>
          <w:color w:val="000000"/>
          <w:sz w:val="21"/>
        </w:rPr>
        <w:t xml:space="preserve">Author guidelines: </w:t>
      </w:r>
      <w:r>
        <w:rPr>
          <w:rFonts w:ascii="Calibri" w:hAnsi="Calibri"/>
          <w:b w:val="0"/>
          <w:i w:val="0"/>
          <w:color w:val="000000"/>
          <w:sz w:val="21"/>
        </w:rPr>
        <w:t>Recheck journal formatting, references, figure/table files, and submission components against the current FEMS Microbiology Letters instructions.</w:t>
      </w:r>
    </w:p>
    <w:p>
      <w:pPr>
        <w:pStyle w:val="Heading1"/>
      </w:pPr>
      <w:r>
        <w:t>Response to Reviewer 1</w:t>
      </w:r>
    </w:p>
    <w:p>
      <w:pPr>
        <w:pStyle w:val="Heading2"/>
        <w:keepNext/>
      </w:pPr>
      <w:r>
        <w:rPr>
          <w:rFonts w:ascii="Calibri" w:hAnsi="Calibri"/>
          <w:b/>
          <w:i w:val="0"/>
          <w:color w:val="1F4D78"/>
          <w:sz w:val="25"/>
        </w:rPr>
        <w:t>Comment 1.1</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The authors need to carefully revise mistakes associated with scientific nomenclature. Similarly, how they display gene names.</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and have conducted a manuscript-wide nomenclature audit. Bacterial genus and species names are italicized and written in full at first mention in each major section, with abbreviated genus names used thereafter where unambiguous. Gene symbols are presented consistently in italics and lower case where applicable (for example, qacEΔ1, mexA, mexB, mexE, mexF, norM, pmpM, smeF, and sul1), whereas proteins, databases, software tools, and model names remain in roman type. We also standardized the use of Listeria monocytogenes, Burkholderia cepacia complex, Ralstonia pickettii, Pseudomonas aeruginosa, and Stenotrophomonas maltophilia throughout the text, tables, and figure legends.</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Global edit across the Abstract, main text, tables, figure legends, and supplementary material. Verify special-character rendering for qacEΔ1 and ensure the same conventions are used in Table 4 and Figure 4.</w:t>
      </w:r>
    </w:p>
    <w:p>
      <w:pPr>
        <w:pStyle w:val="Heading1"/>
      </w:pPr>
      <w:r>
        <w:t>Response to Reviewer 2</w:t>
      </w:r>
    </w:p>
    <w:p>
      <w:pPr>
        <w:pStyle w:val="Heading2"/>
        <w:keepNext/>
      </w:pPr>
      <w:r>
        <w:rPr>
          <w:rFonts w:ascii="Calibri" w:hAnsi="Calibri"/>
          <w:b/>
          <w:i w:val="0"/>
          <w:color w:val="1F4D78"/>
          <w:sz w:val="25"/>
        </w:rPr>
        <w:t>Comment 2.1</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The analysis relies on a relatively small public subset (197 isolates). While the leakage-aware design is commendable, the limited dataset restricts generalizability. Explicitly acknowledge this limitation in the abstract and conclusion, emphasizing that findings are hypothesis generating rather than definitive.</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We now state explicitly in both the Abstract and Conclusion that the 197-isolate public subset limits precision and generalizability and that the findings should be regarded as hypothesis-generating rather than definitive. We also clarify that the benchmark is intended to compare modelling strategies under public-data constraints and does not replace validation in larger, independent, phenotype-linked cohorts.</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Abstract: add a limitation sentence after the performance summary. Conclusion: add a sentence limiting generalization beyond this public Listeria subset. Suggested wording: “Because the benchmark comprised only 197 publicly linkable isolates, these results are hypothesis-generating and require confirmation in larger, independent phenotype-linked cohorts.”</w:t>
      </w:r>
    </w:p>
    <w:p>
      <w:pPr>
        <w:pStyle w:val="Heading2"/>
        <w:keepNext/>
      </w:pPr>
      <w:r>
        <w:rPr>
          <w:rFonts w:ascii="Calibri" w:hAnsi="Calibri"/>
          <w:b/>
          <w:i w:val="0"/>
          <w:color w:val="1F4D78"/>
          <w:sz w:val="25"/>
        </w:rPr>
        <w:t>Comment 2.2</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At times, the manuscript blurs the distinction between phenotype prediction and sequence classification. Clarify early in the Introduction that DNABERT2 embeddings classify sequence fragments, not phenotypes, and reinforce this distinction in the Discussion.</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and have sharpened this distinction. Early in the Introduction, we now explain that DNABERT2 produces numerical representations of DNA sequence and that any phenotype claim arises only when those representations are evaluated against isolate-level measured phenotypes. In the Discussion, we now contrast the MEGARes fragment task (curated reference-class classification) with the Listeria benchmark (isolate-level benzalkonium chloride phenotype prediction) and state that success on the former cannot be interpreted as evidence of disinfectant tolerance.</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Introduction: move the existing caution into the first DNABERT2 paragraph and make it explicit. Discussion: add a direct comparison of endpoints. Use “sequence-fragment classification” for MEGARes and reserve “phenotype prediction” for the isolate-linked Listeria benchmark.</w:t>
      </w:r>
    </w:p>
    <w:p>
      <w:pPr>
        <w:pStyle w:val="Heading2"/>
        <w:keepNext/>
      </w:pPr>
      <w:r>
        <w:rPr>
          <w:rFonts w:ascii="Calibri" w:hAnsi="Calibri"/>
          <w:b/>
          <w:i w:val="0"/>
          <w:color w:val="1F4D78"/>
          <w:sz w:val="25"/>
        </w:rPr>
        <w:t>Comment 2.3</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The screening of Burkholderia, Pseudomonas, Ralstonia, and Stenotrophomonas is interesting but speculative. Label this section more explicitly as “exploratory bioinformatic prioritization” and avoid phrasing that could be misinterpreted as validated tolerance prediction.</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We renamed the relevant Methods and Results subsections to “Exploratory bioinformatic prioritization of pharmaceutical-water candidate regions.” We also replaced predictive language with terms such as candidate-region prioritization, evidence-channel support, and candidates for future experimental testing. The revised text explicitly states that the screen does not provide phenotype-validated tolerance predictions.</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Rename both subsection headings. Audit Abstract, Methods, Results, Discussion, Table 4, Figure 4, and legends for “prediction,” “predict,” “risk prediction,” or “tolerant” when referring to the non-Listeria screen; replace with appropriately qualified prioritization language.</w:t>
      </w:r>
    </w:p>
    <w:p>
      <w:pPr>
        <w:pStyle w:val="Heading2"/>
        <w:keepNext/>
      </w:pPr>
      <w:r>
        <w:rPr>
          <w:rFonts w:ascii="Calibri" w:hAnsi="Calibri"/>
          <w:b/>
          <w:i w:val="0"/>
          <w:color w:val="1F4D78"/>
          <w:sz w:val="25"/>
        </w:rPr>
        <w:t>Comment 2.4</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The pharmaceutical water exploratory screen section could be condensed into a concise table and brief narrative, as it is speculative and secondary to the main benchmark.</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We condensed the Results narrative to a short summary of the screening scope and multi-channel evidence, while retaining a concise main-text table of representative candidate regions. Detailed candidate-level outputs are moved to the Supplementary Material. This revision keeps the main benchmark central and makes the exploratory status of the pharmaceutical-water analysis more visible.</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Shorten the Results subsection to one or two paragraphs. Retain a compact Table 4 with representative multi-channel candidates; move the full candidate list to a supplementary table. Remove repeated gene-by-gene prose already represented in the table.</w:t>
      </w:r>
    </w:p>
    <w:p>
      <w:pPr>
        <w:pStyle w:val="Heading2"/>
        <w:keepNext/>
      </w:pPr>
      <w:r>
        <w:rPr>
          <w:rFonts w:ascii="Calibri" w:hAnsi="Calibri"/>
          <w:b/>
          <w:i w:val="0"/>
          <w:color w:val="1F4D78"/>
          <w:sz w:val="25"/>
        </w:rPr>
        <w:t>Comment 2.5</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The main result (QAC determinants outperform embeddings) is conservative and overlaps with prior work (e.g., Gmeiner et al. 2025). Strengthen the novelty claim by emphasizing the leakage-aware validation design and the demonstration that language models should be treated as secondary evidence channels.</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that the novelty is methodological and interpretive rather than a claim that known QAC biology is newly discovered. We revised the Introduction and Discussion to emphasize three contributions: a reproducible public-subset benchmark with repeated lineage-grouped train/development/test evaluation; direct comparison of frozen genome-language-model embeddings with simple baselines and known determinants under the same splits; and an evidence hierarchy showing that language-model scores should remain secondary until they demonstrate incremental value in phenotype-linked external validation.</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Introduction: revise the final aim/novelty paragraph. Discussion: add a concise novelty paragraph that distinguishes this work from Gmeiner et al. (2025) and avoids overstating biological novelty. Conclusion: foreground the validation principle and evidence hierarchy.</w:t>
      </w:r>
    </w:p>
    <w:p>
      <w:pPr>
        <w:pStyle w:val="Heading2"/>
        <w:keepNext/>
      </w:pPr>
      <w:r>
        <w:rPr>
          <w:rFonts w:ascii="Calibri" w:hAnsi="Calibri"/>
          <w:b/>
          <w:i w:val="0"/>
          <w:color w:val="1F4D78"/>
          <w:sz w:val="25"/>
        </w:rPr>
        <w:t>Comment 2.6</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Ensure figures and tables (e.g., Table 1, Figure 2) clearly highlight the hierarchy of model performance with confidence intervals.</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with the reviewer’s aim of making the performance hierarchy and uncertainty immediately visible. Table 1 and Figure 2 now present models in a consistent order and identify the known-QAC rule as the strongest result for the primary metric. We respectfully retained mean ± SD rather than labelling the five repeated-split estimates as confidence intervals: the split estimates arise from overlapping repeated partitions and are not independent sampling units. This rationale is now stated explicitly in Methods, the Table 1 note, and the Figure 2 legend.</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Table 1 was reordered by balanced accuracy, and its note now defines mean and SD across five repeated grouped test splits. Figure 2 legend now uses the same performance hierarchy and explicitly identifies the error bars as SD. We did not relabel these five overlapping repeated-split estimates as inferential confidence intervals because they are neither independent sampling units nor an external validation cohort; this rationale is now stated in Methods, the table note, and the figure legend.</w:t>
      </w:r>
    </w:p>
    <w:p>
      <w:pPr>
        <w:pStyle w:val="Heading2"/>
        <w:keepNext/>
      </w:pPr>
      <w:r>
        <w:rPr>
          <w:rFonts w:ascii="Calibri" w:hAnsi="Calibri"/>
          <w:b/>
          <w:i w:val="0"/>
          <w:color w:val="1F4D78"/>
          <w:sz w:val="25"/>
        </w:rPr>
        <w:t>Comment 2.7</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Improve readability by simplifying technical jargon in the Abstract for non-specialist readers.</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and have simplified the Abstract. We now define the role of frozen DNABERT2 embeddings in plain language, reduce model-specific terminology, and present the main comparison before secondary analyses. The revised Abstract retains essential numerical results while clarifying that the pretrained DNA model converts sequence into features and was not itself trained on the Listeria labels.</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Rewrite the Abstract for a broad microbiology audience. Replace or explain “frozen embeddings,” “stacked model,” and “leakage-aware” on first use. Keep only the main performance hierarchy and one concise sentence on the exploratory non-Listeria screen.</w:t>
      </w:r>
    </w:p>
    <w:p>
      <w:pPr>
        <w:pStyle w:val="Heading2"/>
        <w:keepNext/>
      </w:pPr>
      <w:r>
        <w:rPr>
          <w:rFonts w:ascii="Calibri" w:hAnsi="Calibri"/>
          <w:b/>
          <w:i w:val="0"/>
          <w:color w:val="1F4D78"/>
          <w:sz w:val="25"/>
        </w:rPr>
        <w:t>Comment 2.8</w:t>
      </w:r>
    </w:p>
    <w:p>
      <w:pPr>
        <w:spacing w:after="140"/>
        <w:ind w:left="259" w:right="115"/>
      </w:pPr>
      <w:r>
        <w:rPr>
          <w:rFonts w:ascii="Calibri" w:hAnsi="Calibri"/>
          <w:b/>
          <w:i w:val="0"/>
          <w:color w:val="444444"/>
          <w:sz w:val="21"/>
        </w:rPr>
        <w:t xml:space="preserve">Reviewer comment: </w:t>
      </w:r>
      <w:r>
        <w:rPr>
          <w:rFonts w:ascii="Calibri" w:hAnsi="Calibri"/>
          <w:b w:val="0"/>
          <w:i/>
          <w:color w:val="000000"/>
          <w:sz w:val="21"/>
        </w:rPr>
        <w:t>Double check references for consistency and formatting (e.g., BacMet, MEGARes, AMRFinderPlus citations).</w:t>
      </w:r>
    </w:p>
    <w:p>
      <w:pPr>
        <w:spacing w:after="140"/>
        <w:ind w:left="259" w:right="115"/>
      </w:pPr>
      <w:r>
        <w:rPr>
          <w:rFonts w:ascii="Calibri" w:hAnsi="Calibri"/>
          <w:b/>
          <w:i w:val="0"/>
          <w:color w:val="1F4D78"/>
          <w:sz w:val="21"/>
        </w:rPr>
        <w:t xml:space="preserve">Response: </w:t>
      </w:r>
      <w:r>
        <w:rPr>
          <w:rFonts w:ascii="Calibri" w:hAnsi="Calibri"/>
          <w:b w:val="0"/>
          <w:i w:val="0"/>
          <w:color w:val="000000"/>
          <w:sz w:val="21"/>
        </w:rPr>
        <w:t>We agree and completed a reference audit. BacMet, MEGARes 3.0, AMRFinderPlus/NCBI Reference Gene Catalog, DNABERT2, and the principal phenotype studies are cited at first substantive use. We corrected two study attributions in Table 2 and added the previously missing Kim et al. (2015), Chittrakanwong et al. (2021), Rose et al. (2009), and Rushton et al. (2013) entries to the reference list, including verified journal, volume, page, and DOI information.</w:t>
      </w:r>
    </w:p>
    <w:p>
      <w:pPr>
        <w:spacing w:after="220"/>
        <w:ind w:left="259"/>
      </w:pPr>
      <w:r>
        <w:rPr>
          <w:rFonts w:ascii="Calibri" w:hAnsi="Calibri"/>
          <w:b/>
          <w:i w:val="0"/>
          <w:color w:val="1F4D78"/>
          <w:sz w:val="21"/>
        </w:rPr>
        <w:t xml:space="preserve">Manuscript actions: </w:t>
      </w:r>
      <w:r>
        <w:rPr>
          <w:rFonts w:ascii="Calibri" w:hAnsi="Calibri"/>
          <w:b w:val="0"/>
          <w:i w:val="0"/>
          <w:color w:val="000000"/>
          <w:sz w:val="21"/>
        </w:rPr>
        <w:t>Run a final reference audit against the source articles and journal style. In particular, verify Pal et al. (BacMet), Bonin et al. (MEGARes 3.0), Feldgarden et al. (AMRFinderPlus), Zhou et al. (DNABERT2), Gmeiner et al. (2025), and the pharmaceutical-water organism studies. Confirm that database versions belong in Methods, not as substitutes for bibliographic citations.</w:t>
      </w:r>
    </w:p>
    <w:p>
      <w:pPr>
        <w:pStyle w:val="Heading1"/>
      </w:pPr>
      <w:r>
        <w:t>Proposed revised wording</w:t>
      </w:r>
    </w:p>
    <w:p>
      <w:pPr>
        <w:spacing w:after="160"/>
        <w:ind w:left="259"/>
      </w:pPr>
      <w:r>
        <w:rPr>
          <w:rFonts w:ascii="Calibri" w:hAnsi="Calibri"/>
          <w:b/>
          <w:i w:val="0"/>
          <w:color w:val="1F4D78"/>
          <w:sz w:val="21"/>
        </w:rPr>
        <w:t xml:space="preserve">Abstract limitation: </w:t>
      </w:r>
      <w:r>
        <w:rPr>
          <w:rFonts w:ascii="Calibri" w:hAnsi="Calibri"/>
          <w:b w:val="0"/>
          <w:i/>
          <w:color w:val="000000"/>
          <w:sz w:val="21"/>
        </w:rPr>
        <w:t>Because the benchmark comprised only 197 publicly linkable isolates, the performance estimates have limited generalizability and should be considered hypothesis-generating pending confirmation in larger, independent phenotype-linked cohorts.</w:t>
      </w:r>
    </w:p>
    <w:p>
      <w:pPr>
        <w:spacing w:after="160"/>
        <w:ind w:left="259"/>
      </w:pPr>
      <w:r>
        <w:rPr>
          <w:rFonts w:ascii="Calibri" w:hAnsi="Calibri"/>
          <w:b/>
          <w:i w:val="0"/>
          <w:color w:val="1F4D78"/>
          <w:sz w:val="21"/>
        </w:rPr>
        <w:t xml:space="preserve">Introduction distinction: </w:t>
      </w:r>
      <w:r>
        <w:rPr>
          <w:rFonts w:ascii="Calibri" w:hAnsi="Calibri"/>
          <w:b w:val="0"/>
          <w:i/>
          <w:color w:val="000000"/>
          <w:sz w:val="21"/>
        </w:rPr>
        <w:t>DNABERT2 represents patterns in DNA sequence; it does not directly classify disinfectant phenotypes. Phenotype prediction requires a separate classifier trained and evaluated against measured, isolate-linked susceptibility labels.</w:t>
      </w:r>
    </w:p>
    <w:p>
      <w:pPr>
        <w:spacing w:after="160"/>
        <w:ind w:left="259"/>
      </w:pPr>
      <w:r>
        <w:rPr>
          <w:rFonts w:ascii="Calibri" w:hAnsi="Calibri"/>
          <w:b/>
          <w:i w:val="0"/>
          <w:color w:val="1F4D78"/>
          <w:sz w:val="21"/>
        </w:rPr>
        <w:t xml:space="preserve">Exploratory-screen label: </w:t>
      </w:r>
      <w:r>
        <w:rPr>
          <w:rFonts w:ascii="Calibri" w:hAnsi="Calibri"/>
          <w:b w:val="0"/>
          <w:i/>
          <w:color w:val="000000"/>
          <w:sz w:val="21"/>
        </w:rPr>
        <w:t>Exploratory bioinformatic prioritization of pharmaceutical-water candidate regions</w:t>
      </w:r>
    </w:p>
    <w:p>
      <w:pPr>
        <w:spacing w:after="160"/>
        <w:ind w:left="259"/>
      </w:pPr>
      <w:r>
        <w:rPr>
          <w:rFonts w:ascii="Calibri" w:hAnsi="Calibri"/>
          <w:b/>
          <w:i w:val="0"/>
          <w:color w:val="1F4D78"/>
          <w:sz w:val="21"/>
        </w:rPr>
        <w:t xml:space="preserve">Discussion distinction: </w:t>
      </w:r>
      <w:r>
        <w:rPr>
          <w:rFonts w:ascii="Calibri" w:hAnsi="Calibri"/>
          <w:b w:val="0"/>
          <w:i/>
          <w:color w:val="000000"/>
          <w:sz w:val="21"/>
        </w:rPr>
        <w:t>The MEGARes analysis tested sequence-fragment classification against curated reference labels, whereas the Listeria benchmark tested isolate-level phenotype prediction. Performance on the reference task therefore cannot be interpreted as evidence that an organism is tolerant to a disinfectant.</w:t>
      </w:r>
    </w:p>
    <w:p>
      <w:pPr>
        <w:spacing w:after="160"/>
        <w:ind w:left="259"/>
      </w:pPr>
      <w:r>
        <w:rPr>
          <w:rFonts w:ascii="Calibri" w:hAnsi="Calibri"/>
          <w:b/>
          <w:i w:val="0"/>
          <w:color w:val="1F4D78"/>
          <w:sz w:val="21"/>
        </w:rPr>
        <w:t xml:space="preserve">Conclusion limitation: </w:t>
      </w:r>
      <w:r>
        <w:rPr>
          <w:rFonts w:ascii="Calibri" w:hAnsi="Calibri"/>
          <w:b w:val="0"/>
          <w:i/>
          <w:color w:val="000000"/>
          <w:sz w:val="21"/>
        </w:rPr>
        <w:t>Within this small public benchmark, known QAC determinants provided the strongest validated signal. The result is hypothesis-generating rather than definitive, and genome-language-model scores should remain secondary evidence until they show incremental value in larger, independent phenotype-linked cohorts.</w:t>
      </w:r>
    </w:p>
    <w:p>
      <w:r>
        <w:br w:type="page"/>
      </w:r>
    </w:p>
    <w:p>
      <w:pPr>
        <w:pStyle w:val="Heading1"/>
      </w:pPr>
      <w:r>
        <w:t>Revision tracker</w:t>
      </w:r>
    </w:p>
    <w:tbl>
      <w:tblPr>
        <w:tblW w:type="auto" w:w="0"/>
        <w:jc w:val="left"/>
        <w:tblLayout w:type="fixed"/>
        <w:tblLook w:firstColumn="1" w:firstRow="1" w:lastColumn="0" w:lastRow="0" w:noHBand="0" w:noVBand="1" w:val="04A0"/>
      </w:tblPr>
      <w:tblGrid>
        <w:gridCol w:w="2469"/>
        <w:gridCol w:w="2469"/>
        <w:gridCol w:w="2469"/>
        <w:gridCol w:w="2469"/>
      </w:tblGrid>
      <w:tr>
        <w:tc>
          <w:tcPr>
            <w:tcW w:type="dxa" w:w="936"/>
            <w:vAlign w:val="center"/>
            <w:tcMar>
              <w:top w:w="90" w:type="dxa"/>
              <w:start w:w="120" w:type="dxa"/>
              <w:bottom w:w="90" w:type="dxa"/>
              <w:end w:w="120" w:type="dxa"/>
            </w:tcMar>
            <w:shd w:fill="1F4D78"/>
          </w:tcPr>
          <w:p>
            <w:pPr>
              <w:spacing w:after="0"/>
            </w:pPr>
            <w:r/>
            <w:r>
              <w:rPr>
                <w:rFonts w:ascii="Calibri" w:hAnsi="Calibri"/>
                <w:b/>
                <w:i w:val="0"/>
                <w:color w:val="FFFFFF"/>
                <w:sz w:val="19"/>
              </w:rPr>
              <w:t>ID</w:t>
            </w:r>
          </w:p>
        </w:tc>
        <w:tc>
          <w:tcPr>
            <w:tcW w:type="dxa" w:w="3672"/>
            <w:vAlign w:val="center"/>
            <w:tcMar>
              <w:top w:w="90" w:type="dxa"/>
              <w:start w:w="120" w:type="dxa"/>
              <w:bottom w:w="90" w:type="dxa"/>
              <w:end w:w="120" w:type="dxa"/>
            </w:tcMar>
            <w:shd w:fill="1F4D78"/>
          </w:tcPr>
          <w:p>
            <w:pPr>
              <w:spacing w:after="0"/>
            </w:pPr>
            <w:r/>
            <w:r>
              <w:rPr>
                <w:rFonts w:ascii="Calibri" w:hAnsi="Calibri"/>
                <w:b/>
                <w:i w:val="0"/>
                <w:color w:val="FFFFFF"/>
                <w:sz w:val="19"/>
              </w:rPr>
              <w:t>Action</w:t>
            </w:r>
          </w:p>
        </w:tc>
        <w:tc>
          <w:tcPr>
            <w:tcW w:type="dxa" w:w="3672"/>
            <w:vAlign w:val="center"/>
            <w:tcMar>
              <w:top w:w="90" w:type="dxa"/>
              <w:start w:w="120" w:type="dxa"/>
              <w:bottom w:w="90" w:type="dxa"/>
              <w:end w:w="120" w:type="dxa"/>
            </w:tcMar>
            <w:shd w:fill="1F4D78"/>
          </w:tcPr>
          <w:p>
            <w:pPr>
              <w:spacing w:after="0"/>
            </w:pPr>
            <w:r/>
            <w:r>
              <w:rPr>
                <w:rFonts w:ascii="Calibri" w:hAnsi="Calibri"/>
                <w:b/>
                <w:i w:val="0"/>
                <w:color w:val="FFFFFF"/>
                <w:sz w:val="19"/>
              </w:rPr>
              <w:t>Location</w:t>
            </w:r>
          </w:p>
        </w:tc>
        <w:tc>
          <w:tcPr>
            <w:tcW w:type="dxa" w:w="1080"/>
            <w:vAlign w:val="center"/>
            <w:tcMar>
              <w:top w:w="90" w:type="dxa"/>
              <w:start w:w="120" w:type="dxa"/>
              <w:bottom w:w="90" w:type="dxa"/>
              <w:end w:w="120" w:type="dxa"/>
            </w:tcMar>
            <w:shd w:fill="1F4D78"/>
          </w:tcPr>
          <w:p>
            <w:pPr>
              <w:spacing w:after="0"/>
            </w:pPr>
            <w:r/>
            <w:r>
              <w:rPr>
                <w:rFonts w:ascii="Calibri" w:hAnsi="Calibri"/>
                <w:b/>
                <w:i w:val="0"/>
                <w:color w:val="FFFFFF"/>
                <w:sz w:val="19"/>
              </w:rPr>
              <w:t>Status</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R1.1</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Nomenclature and gene-symbol audit</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Text, tables, legends</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FFFFF"/>
          </w:tcPr>
          <w:p>
            <w:pPr>
              <w:spacing w:after="0"/>
            </w:pPr>
            <w:r/>
            <w:r>
              <w:rPr>
                <w:rFonts w:ascii="Calibri" w:hAnsi="Calibri"/>
                <w:b w:val="0"/>
                <w:i w:val="0"/>
                <w:color w:val="000000"/>
                <w:sz w:val="17"/>
              </w:rPr>
              <w:t>R2.1</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Small-sample limitation in Abstract and Conclusion</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Abstract; Discussion; Conclusion</w:t>
            </w:r>
          </w:p>
        </w:tc>
        <w:tc>
          <w:tcPr>
            <w:tcW w:type="dxa" w:w="1080"/>
            <w:vAlign w:val="center"/>
            <w:tcMar>
              <w:top w:w="90" w:type="dxa"/>
              <w:start w:w="120" w:type="dxa"/>
              <w:bottom w:w="90" w:type="dxa"/>
              <w:end w:w="120" w:type="dxa"/>
            </w:tcMar>
            <w:shd w:fill="FFFFFF"/>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R2.2</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Separate sequence classification from phenotype prediction</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Introduction; Results; Discussion</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FFFFF"/>
          </w:tcPr>
          <w:p>
            <w:pPr>
              <w:spacing w:after="0"/>
            </w:pPr>
            <w:r/>
            <w:r>
              <w:rPr>
                <w:rFonts w:ascii="Calibri" w:hAnsi="Calibri"/>
                <w:b w:val="0"/>
                <w:i w:val="0"/>
                <w:color w:val="000000"/>
                <w:sz w:val="17"/>
              </w:rPr>
              <w:t>R2.3</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Rename and qualify exploratory screen</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Methods; Results; Discussion; Table/Figure 4</w:t>
            </w:r>
          </w:p>
        </w:tc>
        <w:tc>
          <w:tcPr>
            <w:tcW w:type="dxa" w:w="1080"/>
            <w:vAlign w:val="center"/>
            <w:tcMar>
              <w:top w:w="90" w:type="dxa"/>
              <w:start w:w="120" w:type="dxa"/>
              <w:bottom w:w="90" w:type="dxa"/>
              <w:end w:w="120" w:type="dxa"/>
            </w:tcMar>
            <w:shd w:fill="FFFFFF"/>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R2.4</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Condense pharmaceutical-water section</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Results; Table 4; Supplementary Table S4</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FFFFF"/>
          </w:tcPr>
          <w:p>
            <w:pPr>
              <w:spacing w:after="0"/>
            </w:pPr>
            <w:r/>
            <w:r>
              <w:rPr>
                <w:rFonts w:ascii="Calibri" w:hAnsi="Calibri"/>
                <w:b w:val="0"/>
                <w:i w:val="0"/>
                <w:color w:val="000000"/>
                <w:sz w:val="17"/>
              </w:rPr>
              <w:t>R2.5</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Sharpen leakage-aware novelty claim</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Introduction; Discussion; Conclusion</w:t>
            </w:r>
          </w:p>
        </w:tc>
        <w:tc>
          <w:tcPr>
            <w:tcW w:type="dxa" w:w="1080"/>
            <w:vAlign w:val="center"/>
            <w:tcMar>
              <w:top w:w="90" w:type="dxa"/>
              <w:start w:w="120" w:type="dxa"/>
              <w:bottom w:w="90" w:type="dxa"/>
              <w:end w:w="120" w:type="dxa"/>
            </w:tcMar>
            <w:shd w:fill="FFFFFF"/>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R2.6</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Clarify performance hierarchy and uncertainty</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Methods; Table 1; Figure 2 legend</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FFFFF"/>
          </w:tcPr>
          <w:p>
            <w:pPr>
              <w:spacing w:after="0"/>
            </w:pPr>
            <w:r/>
            <w:r>
              <w:rPr>
                <w:rFonts w:ascii="Calibri" w:hAnsi="Calibri"/>
                <w:b w:val="0"/>
                <w:i w:val="0"/>
                <w:color w:val="000000"/>
                <w:sz w:val="17"/>
              </w:rPr>
              <w:t>R2.7</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Simplify Abstract jargon</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Abstract</w:t>
            </w:r>
          </w:p>
        </w:tc>
        <w:tc>
          <w:tcPr>
            <w:tcW w:type="dxa" w:w="1080"/>
            <w:vAlign w:val="center"/>
            <w:tcMar>
              <w:top w:w="90" w:type="dxa"/>
              <w:start w:w="120" w:type="dxa"/>
              <w:bottom w:w="90" w:type="dxa"/>
              <w:end w:w="120" w:type="dxa"/>
            </w:tcMar>
            <w:shd w:fill="FFFFFF"/>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R2.8</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Reference consistency audit</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References; in-text citations</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FFFFF"/>
          </w:tcPr>
          <w:p>
            <w:pPr>
              <w:spacing w:after="0"/>
            </w:pPr>
            <w:r/>
            <w:r>
              <w:rPr>
                <w:rFonts w:ascii="Calibri" w:hAnsi="Calibri"/>
                <w:b w:val="0"/>
                <w:i w:val="0"/>
                <w:color w:val="000000"/>
                <w:sz w:val="17"/>
              </w:rPr>
              <w:t>Editor</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Add figure alt text</w:t>
            </w:r>
          </w:p>
        </w:tc>
        <w:tc>
          <w:tcPr>
            <w:tcW w:type="dxa" w:w="3672"/>
            <w:vAlign w:val="center"/>
            <w:tcMar>
              <w:top w:w="90" w:type="dxa"/>
              <w:start w:w="120" w:type="dxa"/>
              <w:bottom w:w="90" w:type="dxa"/>
              <w:end w:w="120" w:type="dxa"/>
            </w:tcMar>
            <w:shd w:fill="FFFFFF"/>
          </w:tcPr>
          <w:p>
            <w:pPr>
              <w:spacing w:after="0"/>
            </w:pPr>
            <w:r/>
            <w:r>
              <w:rPr>
                <w:rFonts w:ascii="Calibri" w:hAnsi="Calibri"/>
                <w:b w:val="0"/>
                <w:i w:val="0"/>
                <w:color w:val="000000"/>
                <w:sz w:val="17"/>
              </w:rPr>
              <w:t>All figure legends</w:t>
            </w:r>
          </w:p>
        </w:tc>
        <w:tc>
          <w:tcPr>
            <w:tcW w:type="dxa" w:w="1080"/>
            <w:vAlign w:val="center"/>
            <w:tcMar>
              <w:top w:w="90" w:type="dxa"/>
              <w:start w:w="120" w:type="dxa"/>
              <w:bottom w:w="90" w:type="dxa"/>
              <w:end w:w="120" w:type="dxa"/>
            </w:tcMar>
            <w:shd w:fill="FFFFFF"/>
          </w:tcPr>
          <w:p>
            <w:pPr>
              <w:spacing w:after="0"/>
            </w:pPr>
            <w:r>
              <w:rPr>
                <w:color w:val="1F6B3A"/>
              </w:rPr>
            </w:r>
            <w:r>
              <w:rPr>
                <w:rFonts w:ascii="Calibri" w:hAnsi="Calibri"/>
                <w:b w:val="0"/>
                <w:i w:val="0"/>
                <w:color w:val="000000"/>
                <w:sz w:val="17"/>
              </w:rPr>
              <w:t>Completed</w:t>
            </w:r>
          </w:p>
        </w:tc>
      </w:tr>
      <w:tr>
        <w:tc>
          <w:tcPr>
            <w:tcW w:type="dxa" w:w="936"/>
            <w:vAlign w:val="center"/>
            <w:tcMar>
              <w:top w:w="90" w:type="dxa"/>
              <w:start w:w="120" w:type="dxa"/>
              <w:bottom w:w="90" w:type="dxa"/>
              <w:end w:w="120" w:type="dxa"/>
            </w:tcMar>
            <w:shd w:fill="F7F9FB"/>
          </w:tcPr>
          <w:p>
            <w:pPr>
              <w:spacing w:after="0"/>
            </w:pPr>
            <w:r/>
            <w:r>
              <w:rPr>
                <w:rFonts w:ascii="Calibri" w:hAnsi="Calibri"/>
                <w:b w:val="0"/>
                <w:i w:val="0"/>
                <w:color w:val="000000"/>
                <w:sz w:val="17"/>
              </w:rPr>
              <w:t>Editor</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Anonymize response, comments, and metadata</w:t>
            </w:r>
          </w:p>
        </w:tc>
        <w:tc>
          <w:tcPr>
            <w:tcW w:type="dxa" w:w="3672"/>
            <w:vAlign w:val="center"/>
            <w:tcMar>
              <w:top w:w="90" w:type="dxa"/>
              <w:start w:w="120" w:type="dxa"/>
              <w:bottom w:w="90" w:type="dxa"/>
              <w:end w:w="120" w:type="dxa"/>
            </w:tcMar>
            <w:shd w:fill="F7F9FB"/>
          </w:tcPr>
          <w:p>
            <w:pPr>
              <w:spacing w:after="0"/>
            </w:pPr>
            <w:r/>
            <w:r>
              <w:rPr>
                <w:rFonts w:ascii="Calibri" w:hAnsi="Calibri"/>
                <w:b w:val="0"/>
                <w:i w:val="0"/>
                <w:color w:val="000000"/>
                <w:sz w:val="17"/>
              </w:rPr>
              <w:t>Revision files</w:t>
            </w:r>
          </w:p>
        </w:tc>
        <w:tc>
          <w:tcPr>
            <w:tcW w:type="dxa" w:w="1080"/>
            <w:vAlign w:val="center"/>
            <w:tcMar>
              <w:top w:w="90" w:type="dxa"/>
              <w:start w:w="120" w:type="dxa"/>
              <w:bottom w:w="90" w:type="dxa"/>
              <w:end w:w="120" w:type="dxa"/>
            </w:tcMar>
            <w:shd w:fill="F7F9FB"/>
          </w:tcPr>
          <w:p>
            <w:pPr>
              <w:spacing w:after="0"/>
            </w:pPr>
            <w:r>
              <w:rPr>
                <w:color w:val="1F6B3A"/>
              </w:rPr>
            </w:r>
            <w:r>
              <w:rPr>
                <w:rFonts w:ascii="Calibri" w:hAnsi="Calibri"/>
                <w:b w:val="0"/>
                <w:i w:val="0"/>
                <w:color w:val="000000"/>
                <w:sz w:val="17"/>
              </w:rPr>
              <w:t>Completed</w:t>
            </w:r>
          </w:p>
        </w:tc>
      </w:tr>
    </w:tbl>
    <w:p>
      <w:pPr>
        <w:pStyle w:val="Heading1"/>
      </w:pPr>
      <w:r>
        <w:t>Final submission check</w:t>
      </w:r>
    </w:p>
    <w:p>
      <w:pPr>
        <w:pStyle w:val="ListBullet"/>
      </w:pPr>
      <w:r>
        <w:rPr>
          <w:rFonts w:ascii="Calibri" w:hAnsi="Calibri"/>
          <w:b w:val="0"/>
          <w:i w:val="0"/>
          <w:color w:val="000000"/>
          <w:sz w:val="21"/>
        </w:rPr>
        <w:t>Replace all location placeholders with final page and line numbers from the tracked-changes manuscript.</w:t>
      </w:r>
    </w:p>
    <w:p>
      <w:pPr>
        <w:pStyle w:val="ListBullet"/>
      </w:pPr>
      <w:r>
        <w:rPr>
          <w:rFonts w:ascii="Calibri" w:hAnsi="Calibri"/>
          <w:b w:val="0"/>
          <w:i w:val="0"/>
          <w:color w:val="000000"/>
          <w:sz w:val="21"/>
        </w:rPr>
        <w:t>Ensure every response states what changed and where; avoid promises that are not reflected in the revised files.</w:t>
      </w:r>
    </w:p>
    <w:p>
      <w:pPr>
        <w:pStyle w:val="ListBullet"/>
      </w:pPr>
      <w:r>
        <w:rPr>
          <w:rFonts w:ascii="Calibri" w:hAnsi="Calibri"/>
          <w:b w:val="0"/>
          <w:i w:val="0"/>
          <w:color w:val="000000"/>
          <w:sz w:val="21"/>
        </w:rPr>
        <w:t>Retain the explicit mean ± SD language in Methods, Table 1, and Figure 2; do not relabel the repeated-split SD as an independent-sample confidence interval.</w:t>
      </w:r>
    </w:p>
    <w:p>
      <w:pPr>
        <w:pStyle w:val="ListBullet"/>
      </w:pPr>
      <w:r>
        <w:rPr>
          <w:rFonts w:ascii="Calibri" w:hAnsi="Calibri"/>
          <w:b w:val="0"/>
          <w:i w:val="0"/>
          <w:color w:val="000000"/>
          <w:sz w:val="21"/>
        </w:rPr>
        <w:t>Remove all personal names and contact information from this response and scrub document properties.</w:t>
      </w:r>
    </w:p>
    <w:p>
      <w:pPr>
        <w:pStyle w:val="ListBullet"/>
      </w:pPr>
      <w:r>
        <w:rPr>
          <w:rFonts w:ascii="Calibri" w:hAnsi="Calibri"/>
          <w:b w:val="0"/>
          <w:i w:val="0"/>
          <w:color w:val="000000"/>
          <w:sz w:val="21"/>
        </w:rPr>
        <w:t>Inspect Word comment authors in the tracked manuscript and remove or anonymize them.</w:t>
      </w:r>
    </w:p>
    <w:p>
      <w:pPr>
        <w:pStyle w:val="ListBullet"/>
      </w:pPr>
      <w:r>
        <w:rPr>
          <w:rFonts w:ascii="Calibri" w:hAnsi="Calibri"/>
          <w:b w:val="0"/>
          <w:i w:val="0"/>
          <w:color w:val="000000"/>
          <w:sz w:val="21"/>
        </w:rPr>
        <w:t>Upload the anonymous response, tracked-changes manuscript, clean revised manuscript if requested, revised tables/figures, supplementary material, and figure alt text.</w:t>
      </w:r>
    </w:p>
    <w:sectPr>
      <w:headerReference w:type="default" r:id="rId9"/>
      <w:footerReference w:type="default" r:id="rId10"/>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77777"/>
        <w:sz w:val="17"/>
      </w:rPr>
      <w:t>Response to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7"/>
      </w:rPr>
      <w:t>FEMSLE-26-06-0203 | Anonymous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