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Figure legends</w:t>
      </w:r>
    </w:p>
    <w:p>
      <w:pPr>
        <w:jc w:val="left"/>
      </w:pPr>
      <w:r>
        <w:t xml:space="preserve">Figure 1. Study workflow and evidence hierarchy. Public </w:t>
      </w:r>
      <w:r>
        <w:rPr>
          <w:i/>
        </w:rPr>
        <w:t>Listeria monocytogenes</w:t>
      </w:r>
      <w:r>
        <w:t xml:space="preserve"> benzalkonium chloride MIC labels were used for an isolate-level phenotype benchmark with repeated lineage-grouped evaluation. A separate MEGARes task assessed sequence-fragment classification. Non-</w:t>
      </w:r>
      <w:r>
        <w:rPr>
          <w:i/>
        </w:rPr>
        <w:t>Listeria</w:t>
      </w:r>
      <w:r>
        <w:t xml:space="preserve"> pharmaceutical-water organisms were included only in exploratory bioinformatic prioritization because row-level phenotype-genome labels were unavailable. Alt text: Flow diagram separating the validated </w:t>
      </w:r>
      <w:r>
        <w:rPr>
          <w:i/>
        </w:rPr>
        <w:t>Listeria</w:t>
      </w:r>
      <w:r>
        <w:t xml:space="preserve"> phenotype benchmark, the curated sequence-fragment task, a public-data audit, and an exploratory pharmaceutical-water candidate screen.</w:t>
      </w:r>
    </w:p>
    <w:p>
      <w:pPr>
        <w:jc w:val="left"/>
      </w:pPr>
      <w:r>
        <w:t xml:space="preserve">Figure 2. Model-performance hierarchy. Panel A shows balanced accuracy and Panel B shows ROC AUC across five repeated lineage-grouped </w:t>
      </w:r>
      <w:r>
        <w:rPr>
          <w:i/>
        </w:rPr>
        <w:t>Listeria</w:t>
      </w:r>
      <w:r>
        <w:t xml:space="preserve"> test splits; Panel C shows Brier score. Models are displayed in consistent performance order. Error bars show standard deviation across the five split-level values and are descriptive, not independent-sample confidence intervals. Panel D shows balanced accuracy for the separate MEGARes sequence-fragment benchmark under full-sequence, 1% synthetic-noise, and 500-bp partial-fragment conditions. The dotted line marks 0.5 in classification and ranking panels. Alt text: Four panels showing that the known-QAC rule has the highest </w:t>
      </w:r>
      <w:r>
        <w:rPr>
          <w:i/>
        </w:rPr>
        <w:t>Listeria</w:t>
      </w:r>
      <w:r>
        <w:t xml:space="preserve"> balanced accuracy, the combined model ranks second, DNABERT2 and k-mer models are weak standalone phenotype classifiers, and curated reference fragments are easier to classify than isolate-level tolerance.</w:t>
      </w:r>
    </w:p>
    <w:p>
      <w:pPr>
        <w:jc w:val="left"/>
      </w:pPr>
      <w:r>
        <w:t>Figure 3. Public-data audit for a non-</w:t>
      </w:r>
      <w:r>
        <w:rPr>
          <w:i/>
        </w:rPr>
        <w:t>Listeria</w:t>
      </w:r>
      <w:r>
        <w:t xml:space="preserve"> extension. Panel A compares reported phenotyped and sequenced isolate counts across audited studies. Panel B summarizes readiness for supervised machine learning based on row-level phenotype-genome linkage. Alt text: Two panels showing that relevant phenotypes and genomes are reported in several studies, but that row-level linkage suitable for supervised modelling is generally absent.</w:t>
      </w:r>
    </w:p>
    <w:p>
      <w:pPr>
        <w:jc w:val="left"/>
      </w:pPr>
      <w:r>
        <w:t xml:space="preserve">Figure 4. Exploratory bioinformatic prioritization of pharmaceutical-water candidate regions. Panel A ranks candidate regions by selective DNABERT2 biocide-relevance score; Panel B summarizes supporting AMRFinderPlus, BacMet, and QAC annotation channels; Panel C shows organisms represented among the top-ranked regions. These region scores are not phenotype-validated tolerance predictions. Alt text: Three panels showing candidate genomic regions from </w:t>
      </w:r>
      <w:r>
        <w:rPr>
          <w:i/>
        </w:rPr>
        <w:t>Burkholderia cepacia complex</w:t>
      </w:r>
      <w:r>
        <w:t xml:space="preserve">, </w:t>
      </w:r>
      <w:r>
        <w:rPr>
          <w:i/>
        </w:rPr>
        <w:t>Pseudomonas aeruginosa</w:t>
      </w:r>
      <w:r>
        <w:t xml:space="preserve">, and </w:t>
      </w:r>
      <w:r>
        <w:rPr>
          <w:i/>
        </w:rPr>
        <w:t>Stenotrophomonas maltophilia</w:t>
      </w:r>
      <w:r>
        <w:t>, the number of supporting annotation channels, and an explicit exploratory-only boundary.</w:t>
      </w:r>
    </w:p>
    <w:sectPr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 New Roma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