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>
          <w:sz w:val="28"/>
          <w:szCs w:val="28"/>
        </w:rPr>
      </w:pPr>
      <w:r>
        <w:t xml:space="preserve">Table 1. Performance hierarchy in the lineage-grouped </w:t>
      </w:r>
      <w:r>
        <w:rPr>
          <w:i/>
        </w:rPr>
        <w:t>Listeria</w:t>
      </w:r>
      <w:r>
        <w:t xml:space="preserve"> benchmark.</w:t>
      </w:r>
    </w:p>
    <w:tbl>
      <w:tblPr>
        <w:tblStyle w:val="TableGrid"/>
        <w:tblW w:w="12957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VBand="1" w:noHBand="0" w:lastColumn="0" w:firstColumn="1" w:lastRow="0" w:firstRow="1"/>
      </w:tblPr>
      <w:tblGrid>
        <w:gridCol w:w="1851"/>
        <w:gridCol w:w="1850"/>
        <w:gridCol w:w="1852"/>
        <w:gridCol w:w="1850"/>
        <w:gridCol w:w="1852"/>
        <w:gridCol w:w="1850"/>
        <w:gridCol w:w="1852"/>
      </w:tblGrid>
      <w:tr>
        <w:trPr>
          <w:tblHeader w:val="true"/>
        </w:trPr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Model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Splits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Balanced accuracy mean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Balanced accuracy SD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ROC AUC mean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ROC AUC SD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Brier score mean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Known-QAC rule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0.961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0.057</w:t>
            </w:r>
          </w:p>
        </w:tc>
        <w:tc>
          <w:tcPr>
            <w:tcW w:w="1852" w:type="dxa"/>
            <w:tcBorders/>
            <w:vAlign w:val="center"/>
          </w:tcPr>
          <w:p>
            <w:r>
              <w:t>0.961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0.057</w:t>
            </w:r>
          </w:p>
        </w:tc>
        <w:tc>
          <w:tcPr>
            <w:tcW w:w="1852" w:type="dxa"/>
            <w:tcBorders/>
            <w:vAlign w:val="center"/>
          </w:tcPr>
          <w:p>
            <w:r>
              <w:t>0.01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Combined model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0.915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0.023</w:t>
            </w:r>
          </w:p>
        </w:tc>
        <w:tc>
          <w:tcPr>
            <w:tcW w:w="1852" w:type="dxa"/>
            <w:tcBorders/>
            <w:vAlign w:val="center"/>
          </w:tcPr>
          <w:p>
            <w:r>
              <w:t>0.958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0.059</w:t>
            </w:r>
          </w:p>
        </w:tc>
        <w:tc>
          <w:tcPr>
            <w:tcW w:w="1852" w:type="dxa"/>
            <w:tcBorders/>
            <w:vAlign w:val="center"/>
          </w:tcPr>
          <w:p>
            <w:r>
              <w:t>0.022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QAC logistic L2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0.865</w:t>
            </w:r>
          </w:p>
        </w:tc>
        <w:tc>
          <w:tcPr>
            <w:tcW w:w="1850" w:type="dxa"/>
            <w:tcBorders/>
            <w:vAlign w:val="center"/>
          </w:tcPr>
          <w:p>
            <w:r>
              <w:t>0.135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0.865</w:t>
            </w:r>
          </w:p>
        </w:tc>
        <w:tc>
          <w:tcPr>
            <w:tcW w:w="1850" w:type="dxa"/>
            <w:tcBorders/>
            <w:vAlign w:val="center"/>
          </w:tcPr>
          <w:p>
            <w:r>
              <w:t>0.135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0.035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DNABERT2 elastic-net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0.57</w:t>
            </w:r>
          </w:p>
        </w:tc>
        <w:tc>
          <w:tcPr>
            <w:tcW w:w="1850" w:type="dxa"/>
            <w:tcBorders/>
            <w:vAlign w:val="center"/>
          </w:tcPr>
          <w:p>
            <w:r>
              <w:t>0.11</w:t>
            </w:r>
          </w:p>
        </w:tc>
        <w:tc>
          <w:tcPr>
            <w:tcW w:w="1852" w:type="dxa"/>
            <w:tcBorders/>
            <w:vAlign w:val="center"/>
          </w:tcPr>
          <w:p>
            <w:r>
              <w:t>0.582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0.085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0.188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Dummy prior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0.5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</w:t>
            </w:r>
          </w:p>
        </w:tc>
        <w:tc>
          <w:tcPr>
            <w:tcW w:w="1852" w:type="dxa"/>
            <w:tcBorders/>
            <w:vAlign w:val="center"/>
          </w:tcPr>
          <w:p>
            <w:r>
              <w:t>0.5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</w:t>
            </w:r>
          </w:p>
        </w:tc>
        <w:tc>
          <w:tcPr>
            <w:tcW w:w="1852" w:type="dxa"/>
            <w:tcBorders/>
            <w:vAlign w:val="center"/>
          </w:tcPr>
          <w:p>
            <w:r>
              <w:t>0.146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r>
              <w:t>k-mer L2</w:t>
            </w:r>
          </w:p>
        </w:tc>
        <w:tc>
          <w:tcPr>
            <w:tcW w:w="1850" w:type="dxa"/>
            <w:tcBorders/>
            <w:vAlign w:val="center"/>
          </w:tcPr>
          <w:p>
            <w:r>
              <w:t>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0.493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0.036</w:t>
            </w:r>
          </w:p>
        </w:tc>
        <w:tc>
          <w:tcPr>
            <w:tcW w:w="1852" w:type="dxa"/>
            <w:tcBorders/>
            <w:vAlign w:val="center"/>
          </w:tcPr>
          <w:p>
            <w:r>
              <w:t>0.571</w:t>
            </w:r>
          </w:p>
        </w:tc>
        <w:tc>
          <w:tcPr>
            <w:tcW w:w="1850" w:type="dxa"/>
            <w:tcBorders/>
            <w:vAlign w:val="center"/>
          </w:tcPr>
          <w:p>
            <w:r>
              <w:t>0.05</w:t>
            </w:r>
          </w:p>
        </w:tc>
        <w:tc>
          <w:tcPr>
            <w:tcW w:w="1852" w:type="dxa"/>
            <w:tcBorders/>
            <w:vAlign w:val="center"/>
          </w:tcPr>
          <w:p>
            <w:r>
              <w:t>0.249</w:t>
            </w:r>
          </w:p>
        </w:tc>
      </w:tr>
    </w:tbl>
    <w:p>
      <w:pPr>
        <w:pStyle w:val="Normal"/>
        <w:rPr>
          <w:sz w:val="28"/>
          <w:szCs w:val="28"/>
        </w:rPr>
      </w:pPr>
      <w:r>
        <w:t>Values are mean and standard deviation (SD) across five repeated lineage-grouped test splits. The repeated, overlapping split estimates are descriptive and are not labelled as independent-sample confidence intervals. Higher balanced accuracy and ROC AUC and lower Brier score indicate better performance.</w:t>
      </w:r>
    </w:p>
    <w:p>
      <w:pPr>
        <w:pStyle w:val="Normal"/>
        <w:spacing w:before="0" w:after="120"/>
        <w:rPr>
          <w:sz w:val="28"/>
          <w:szCs w:val="28"/>
        </w:rPr>
      </w:pPr>
      <w:r>
        <w:t>Table 2. Public phenotype-genome dataset audit.</w:t>
      </w:r>
    </w:p>
    <w:tbl>
      <w:tblPr>
        <w:tblStyle w:val="TableGrid"/>
        <w:tblW w:w="129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VBand="1" w:noHBand="0" w:lastColumn="0" w:firstColumn="1" w:lastRow="0" w:firstRow="1"/>
      </w:tblPr>
      <w:tblGrid>
        <w:gridCol w:w="2160"/>
        <w:gridCol w:w="2159"/>
        <w:gridCol w:w="2161"/>
        <w:gridCol w:w="2160"/>
        <w:gridCol w:w="2159"/>
        <w:gridCol w:w="2161"/>
      </w:tblGrid>
      <w:tr>
        <w:trPr>
          <w:tblHeader w:val="true"/>
        </w:trPr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Study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Organism group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Biocide endpoint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Phenotyped isolates reported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Sequenced isolates reported</w:t>
            </w:r>
          </w:p>
        </w:tc>
        <w:tc>
          <w:tcPr>
            <w:tcW w:w="2161" w:type="dxa"/>
            <w:tcBorders/>
            <w:vAlign w:val="center"/>
          </w:tcPr>
          <w:p>
            <w:r>
              <w:t>Audit outcome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Pottier et al. 2023, Scientific Reports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Pseudomonas aeruginosa</w:t>
            </w:r>
          </w:p>
        </w:tc>
        <w:tc>
          <w:tcPr>
            <w:tcW w:w="2161" w:type="dxa"/>
            <w:tcBorders/>
            <w:vAlign w:val="center"/>
          </w:tcPr>
          <w:p>
            <w:r>
              <w:t>Didecyldimethylammonium chloride (DDAC)</w:t>
            </w:r>
          </w:p>
        </w:tc>
        <w:tc>
          <w:tcPr>
            <w:tcW w:w="2160" w:type="dxa"/>
            <w:tcBorders/>
            <w:vAlign w:val="center"/>
          </w:tcPr>
          <w:p>
            <w:r>
              <w:t>100</w:t>
            </w:r>
          </w:p>
        </w:tc>
        <w:tc>
          <w:tcPr>
            <w:tcW w:w="2159" w:type="dxa"/>
            <w:tcBorders/>
            <w:vAlign w:val="center"/>
          </w:tcPr>
          <w:p>
            <w:r>
              <w:t>77</w:t>
            </w:r>
          </w:p>
        </w:tc>
        <w:tc>
          <w:tcPr>
            <w:tcW w:w="2161" w:type="dxa"/>
            <w:tcBorders/>
            <w:vAlign w:val="center"/>
          </w:tcPr>
          <w:p>
            <w:r>
              <w:t>Not ready: no machine-readable row-level phenotype-genome linkage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Kim et al. 2015, Journal of Industrial Microbiology &amp; Biotechnology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Burkholderia cepacia complex</w:t>
            </w:r>
          </w:p>
        </w:tc>
        <w:tc>
          <w:tcPr>
            <w:tcW w:w="2161" w:type="dxa"/>
            <w:tcBorders/>
            <w:vAlign w:val="center"/>
          </w:tcPr>
          <w:p>
            <w:r>
              <w:t>Chlorhexidine gluconate (CHX) and benzalkonium chloride (BZK)</w:t>
            </w:r>
          </w:p>
        </w:tc>
        <w:tc>
          <w:tcPr>
            <w:tcW w:w="2160" w:type="dxa"/>
            <w:tcBorders/>
            <w:vAlign w:val="center"/>
          </w:tcPr>
          <w:p>
            <w:r>
              <w:t>36</w:t>
            </w:r>
          </w:p>
        </w:tc>
        <w:tc>
          <w:tcPr>
            <w:tcW w:w="2159" w:type="dxa"/>
            <w:tcBorders/>
            <w:vAlign w:val="center"/>
          </w:tcPr>
          <w:p>
            <w:r/>
          </w:p>
        </w:tc>
        <w:tc>
          <w:tcPr>
            <w:tcW w:w="2161" w:type="dxa"/>
            <w:tcBorders/>
            <w:vAlign w:val="center"/>
          </w:tcPr>
          <w:p>
            <w:r>
              <w:t>Not ready: public genome mapping incomplete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Rushton et al. 2013, Antimicrobial Agents and Chemotherapy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Burkholderia cepacia complex</w:t>
            </w:r>
          </w:p>
        </w:tc>
        <w:tc>
          <w:tcPr>
            <w:tcW w:w="2161" w:type="dxa"/>
            <w:tcBorders/>
            <w:vAlign w:val="center"/>
          </w:tcPr>
          <w:p>
            <w:r>
              <w:t>Industrial preservatives including benzethonium chloride and isothiazolinones</w:t>
            </w:r>
          </w:p>
        </w:tc>
        <w:tc>
          <w:tcPr>
            <w:tcW w:w="2160" w:type="dxa"/>
            <w:tcBorders/>
            <w:vAlign w:val="center"/>
          </w:tcPr>
          <w:p>
            <w:r>
              <w:t>83</w:t>
            </w:r>
          </w:p>
        </w:tc>
        <w:tc>
          <w:tcPr>
            <w:tcW w:w="2159" w:type="dxa"/>
            <w:tcBorders/>
            <w:vAlign w:val="center"/>
          </w:tcPr>
          <w:p>
            <w:r/>
          </w:p>
        </w:tc>
        <w:tc>
          <w:tcPr>
            <w:tcW w:w="2161" w:type="dxa"/>
            <w:tcBorders/>
            <w:vAlign w:val="center"/>
          </w:tcPr>
          <w:p>
            <w:r>
              <w:t>Not ready: public genome mapping incomplete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Ahn et al. 2016, mBio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Burkholderia cepacia complex</w:t>
            </w:r>
          </w:p>
        </w:tc>
        <w:tc>
          <w:tcPr>
            <w:tcW w:w="2161" w:type="dxa"/>
            <w:tcBorders/>
            <w:vAlign w:val="center"/>
          </w:tcPr>
          <w:p>
            <w:r>
              <w:t>Benzyldimethylalkylammonium chloride homologues</w:t>
            </w:r>
          </w:p>
        </w:tc>
        <w:tc>
          <w:tcPr>
            <w:tcW w:w="2160" w:type="dxa"/>
            <w:tcBorders/>
            <w:vAlign w:val="center"/>
          </w:tcPr>
          <w:p>
            <w:r/>
          </w:p>
        </w:tc>
        <w:tc>
          <w:tcPr>
            <w:tcW w:w="2159" w:type="dxa"/>
            <w:tcBorders/>
            <w:vAlign w:val="center"/>
          </w:tcPr>
          <w:p>
            <w:r/>
          </w:p>
        </w:tc>
        <w:tc>
          <w:tcPr>
            <w:tcW w:w="2161" w:type="dxa"/>
            <w:tcBorders/>
            <w:vAlign w:val="center"/>
          </w:tcPr>
          <w:p>
            <w:r>
              <w:t>Context only: no supervised endpoint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Chittrakanwong et al. 2021, Canadian Journal of Microbiology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Stenotrophomonas maltophilia</w:t>
            </w:r>
          </w:p>
        </w:tc>
        <w:tc>
          <w:tcPr>
            <w:tcW w:w="2161" w:type="dxa"/>
            <w:tcBorders/>
            <w:vAlign w:val="center"/>
          </w:tcPr>
          <w:p>
            <w:r>
              <w:t>Benzalkonium chloride (BAC) and chlorhexidine gluconate</w:t>
            </w:r>
          </w:p>
        </w:tc>
        <w:tc>
          <w:tcPr>
            <w:tcW w:w="2160" w:type="dxa"/>
            <w:tcBorders/>
            <w:vAlign w:val="center"/>
          </w:tcPr>
          <w:p>
            <w:r/>
          </w:p>
        </w:tc>
        <w:tc>
          <w:tcPr>
            <w:tcW w:w="2159" w:type="dxa"/>
            <w:tcBorders/>
            <w:vAlign w:val="center"/>
          </w:tcPr>
          <w:p>
            <w:r/>
          </w:p>
        </w:tc>
        <w:tc>
          <w:tcPr>
            <w:tcW w:w="2161" w:type="dxa"/>
            <w:tcBorders/>
            <w:vAlign w:val="center"/>
          </w:tcPr>
          <w:p>
            <w:r>
              <w:t>Context only: no supervised endpoint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Rose et al. 2009, Journal of Antimicrobial Chemotherapy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Burkholderia cepacia complex</w:t>
            </w:r>
            <w:r>
              <w:t xml:space="preserve"> plus non-Bcc controls</w:t>
            </w:r>
          </w:p>
        </w:tc>
        <w:tc>
          <w:tcPr>
            <w:tcW w:w="2161" w:type="dxa"/>
            <w:tcBorders/>
            <w:vAlign w:val="center"/>
          </w:tcPr>
          <w:p>
            <w:r>
              <w:t>Multiple biocides</w:t>
            </w:r>
          </w:p>
        </w:tc>
        <w:tc>
          <w:tcPr>
            <w:tcW w:w="2160" w:type="dxa"/>
            <w:tcBorders/>
            <w:vAlign w:val="center"/>
          </w:tcPr>
          <w:p>
            <w:r>
              <w:t>60</w:t>
            </w:r>
          </w:p>
        </w:tc>
        <w:tc>
          <w:tcPr>
            <w:tcW w:w="2159" w:type="dxa"/>
            <w:tcBorders/>
            <w:vAlign w:val="center"/>
          </w:tcPr>
          <w:p>
            <w:r/>
          </w:p>
        </w:tc>
        <w:tc>
          <w:tcPr>
            <w:tcW w:w="2161" w:type="dxa"/>
            <w:tcBorders/>
            <w:vAlign w:val="center"/>
          </w:tcPr>
          <w:p>
            <w:r>
              <w:t>Not ready: no row-level genome linkage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r>
              <w:t>Gmeiner et al. 2025, Scientific Reports</w:t>
            </w:r>
          </w:p>
        </w:tc>
        <w:tc>
          <w:tcPr>
            <w:tcW w:w="2159" w:type="dxa"/>
            <w:tcBorders/>
            <w:vAlign w:val="center"/>
          </w:tcPr>
          <w:p>
            <w:r>
              <w:rPr>
                <w:i/>
              </w:rPr>
              <w:t>Listeria monocytogenes</w:t>
            </w:r>
          </w:p>
        </w:tc>
        <w:tc>
          <w:tcPr>
            <w:tcW w:w="2161" w:type="dxa"/>
            <w:tcBorders/>
            <w:vAlign w:val="center"/>
          </w:tcPr>
          <w:p>
            <w:r>
              <w:t>Benzalkonium chloride (BC), DDAC, MIDA</w:t>
            </w:r>
          </w:p>
        </w:tc>
        <w:tc>
          <w:tcPr>
            <w:tcW w:w="2160" w:type="dxa"/>
            <w:tcBorders/>
            <w:vAlign w:val="center"/>
          </w:tcPr>
          <w:p>
            <w:r>
              <w:t>1649</w:t>
            </w:r>
          </w:p>
        </w:tc>
        <w:tc>
          <w:tcPr>
            <w:tcW w:w="2159" w:type="dxa"/>
            <w:tcBorders/>
            <w:vAlign w:val="center"/>
          </w:tcPr>
          <w:p>
            <w:r>
              <w:t>1649</w:t>
            </w:r>
          </w:p>
        </w:tc>
        <w:tc>
          <w:tcPr>
            <w:tcW w:w="2161" w:type="dxa"/>
            <w:tcBorders/>
            <w:vAlign w:val="center"/>
          </w:tcPr>
          <w:p>
            <w:r>
              <w:t>Reference benchmark; current public subset uses 197 linkable isolates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20"/>
        <w:rPr>
          <w:sz w:val="28"/>
          <w:szCs w:val="28"/>
        </w:rPr>
      </w:pPr>
      <w:r>
        <w:t>Table 3. MEGARes fragment benchmark.</w:t>
      </w:r>
    </w:p>
    <w:tbl>
      <w:tblPr>
        <w:tblStyle w:val="TableGrid"/>
        <w:tblW w:w="12957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VBand="1" w:noHBand="0" w:lastColumn="0" w:firstColumn="1" w:lastRow="0" w:firstRow="1"/>
      </w:tblPr>
      <w:tblGrid>
        <w:gridCol w:w="1851"/>
        <w:gridCol w:w="1850"/>
        <w:gridCol w:w="1852"/>
        <w:gridCol w:w="1850"/>
        <w:gridCol w:w="1852"/>
        <w:gridCol w:w="1850"/>
        <w:gridCol w:w="1852"/>
      </w:tblGrid>
      <w:tr>
        <w:trPr>
          <w:tblHeader w:val="true"/>
        </w:trPr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Model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Condition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BA mean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BA SD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ROC AUC mean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ROC AUC SD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Average precision mean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dnabert2 xgboost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full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0.731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0.040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0.802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0.042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0.819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kmer random forest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full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0.708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0.041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0.809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0.034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0.828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dnabert2 xgboost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noise 1%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0.731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0.040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0.795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0.038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0.814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kmer random forest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noise 1%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0.707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0.030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0.801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0.028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0.818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kmer random forest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partial 500bp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0.699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0.064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0.777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0.043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0.781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dnabert2 xgboost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partial 500bp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0.651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0.040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0.722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0.053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0.757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120"/>
        <w:rPr>
          <w:sz w:val="28"/>
          <w:szCs w:val="28"/>
        </w:rPr>
      </w:pPr>
      <w:r>
        <w:t>Table 4. Representative candidates from the exploratory bioinformatic prioritization of pharmaceutical-water organisms.</w:t>
      </w:r>
    </w:p>
    <w:tbl>
      <w:tblPr>
        <w:tblStyle w:val="TableGrid"/>
        <w:tblW w:w="129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VBand="1" w:noHBand="0" w:lastColumn="0" w:firstColumn="1" w:lastRow="0" w:firstRow="1"/>
      </w:tblPr>
      <w:tblGrid>
        <w:gridCol w:w="1439"/>
        <w:gridCol w:w="1440"/>
        <w:gridCol w:w="1440"/>
        <w:gridCol w:w="1440"/>
        <w:gridCol w:w="1441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Region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Organism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Assembly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MEGARes class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DNABERT2 score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Evidence channels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AMRFinder gene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BacMet gene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QAC annotation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PWR000062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Burkholderia cepacia complex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GCF_040215475.1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Drug and biocide resistance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0.684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5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norM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norM</w:t>
            </w:r>
            <w:r>
              <w:t>/</w:t>
            </w:r>
            <w:r>
              <w:rPr>
                <w:i/>
              </w:rPr>
              <w:t>pmpM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yes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PWR001047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Stenotrophomonas maltophilia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GCF_041294385.1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Drug and biocide resistance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0.864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smeF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smeF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no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PWR000494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Pseudomonas aeruginosa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GCF_029962205.1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Drug and biocide resistance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0.864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mexA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mexA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no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PWR000311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Pseudomonas aeruginosa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GCF_000006765.1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Drug and biocide resistance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0.862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mexE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i/>
              </w:rPr>
              <w:t>mexF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 w:val="28"/>
                <w:szCs w:val="28"/>
                <w:lang w:val="en-US" w:eastAsia="en-US" w:bidi="ar-SA"/>
              </w:rPr>
            </w:pPr>
            <w:r>
              <w:t>no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orient="landscape" w:w="15840" w:h="122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Times New Roman" w:hAnsi="Times New Roman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240" w:after="120"/>
      <w:outlineLvl w:val="0"/>
    </w:pPr>
    <w:rPr>
      <w:rFonts w:ascii="Times New Roman" w:hAnsi="Times New Roman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outlineLvl w:val="1"/>
    </w:pPr>
    <w:rPr>
      <w:rFonts w:ascii="Times New Roman" w:hAnsi="Times New Roman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outlineLvl w:val="2"/>
    </w:pPr>
    <w:rPr>
      <w:rFonts w:ascii="Times New Roman" w:hAnsi="Times New Roman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Times New Roman" w:hAnsi="Times New Roman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Times New Roman" w:hAnsi="Times New Roman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Times New Roman" w:hAnsi="Times New Roman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Times New Roman" w:hAnsi="Times New Roman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Times New Roman" w:hAnsi="Times New Roman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Times New Roman" w:hAnsi="Times New Roman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Pages>7</Pages>
  <Words>494</Words>
  <Characters>3164</Characters>
  <CharactersWithSpaces>3398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en-US</dc:language>
  <cp:lastModifiedBy/>
  <dcterms:modified xsi:type="dcterms:W3CDTF">2026-06-04T20:39:25Z</dcterms:modified>
  <cp:revision>2</cp:revision>
  <dc:subject/>
  <dc:title/>
</cp:coreProperties>
</file>