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360"/>
        <w:jc w:val="center"/>
        <w:rPr/>
      </w:pPr>
      <w:r>
        <w:rPr>
          <w:rFonts w:ascii="Times New Roman" w:hAnsi="Times New Roman"/>
          <w:b/>
          <w:color w:val="000000"/>
          <w:sz w:val="28"/>
        </w:rPr>
        <w:t xml:space="preserve">Known QAC determinants outperform genome language model embeddings in a leakage-aware public </w:t>
      </w:r>
      <w:r>
        <w:rPr>
          <w:rFonts w:ascii="Times New Roman" w:hAnsi="Times New Roman"/>
          <w:b/>
          <w:i/>
          <w:color w:val="000000"/>
          <w:sz w:val="28"/>
        </w:rPr>
        <w:t>Listeria</w:t>
      </w:r>
      <w:r>
        <w:rPr>
          <w:rFonts w:ascii="Times New Roman" w:hAnsi="Times New Roman"/>
          <w:b/>
          <w:color w:val="000000"/>
          <w:sz w:val="28"/>
        </w:rPr>
        <w:t xml:space="preserve"> benzalkonium chloride tolerance benchmark</w:t>
      </w:r>
    </w:p>
    <w:p>
      <w:pPr>
        <w:jc w:val="center"/>
      </w:pPr>
      <w:r>
        <w:rPr>
          <w:rFonts w:ascii="Times New Roman" w:hAnsi="Times New Roman"/>
          <w:b/>
          <w:sz w:val="24"/>
        </w:rPr>
        <w:t>Carlos Victor Montefusco-Pereira</w:t>
      </w:r>
    </w:p>
    <w:p>
      <w:pPr>
        <w:spacing w:after="240"/>
        <w:jc w:val="center"/>
      </w:pPr>
      <w:r>
        <w:rPr>
          <w:rFonts w:ascii="Times New Roman" w:hAnsi="Times New Roman"/>
        </w:rPr>
        <w:t>Independent Researcher in Data Science and Artificial Intelligence in Industrial Pharmaceutics, Berlin, Germany</w:t>
      </w:r>
    </w:p>
    <w:p>
      <w:r>
        <w:rPr>
          <w:rFonts w:ascii="Times New Roman" w:hAnsi="Times New Roman"/>
          <w:b/>
        </w:rPr>
        <w:t xml:space="preserve">Corresponding author: </w:t>
      </w:r>
      <w:r>
        <w:rPr>
          <w:rFonts w:ascii="Times New Roman" w:hAnsi="Times New Roman"/>
        </w:rPr>
        <w:t>Carlos Victor Montefusco-Pereira, Friedrich-Wilhelm-Straße 28, 12103 Berlin, Germany; email: cmontefusco@gmail.com; telephone: +49 151 68108538.</w:t>
      </w:r>
    </w:p>
    <w:p>
      <w:r>
        <w:rPr>
          <w:rFonts w:ascii="Times New Roman" w:hAnsi="Times New Roman"/>
          <w:b/>
        </w:rPr>
        <w:t xml:space="preserve">Article type: </w:t>
      </w:r>
      <w:r>
        <w:rPr>
          <w:rFonts w:ascii="Times New Roman" w:hAnsi="Times New Roman"/>
        </w:rPr>
        <w:t>Research Article</w:t>
      </w:r>
    </w:p>
    <w:p>
      <w:r>
        <w:rPr>
          <w:rFonts w:ascii="Times New Roman" w:hAnsi="Times New Roman"/>
          <w:b/>
        </w:rPr>
        <w:t xml:space="preserve">Section: </w:t>
      </w:r>
      <w:r>
        <w:rPr>
          <w:rFonts w:ascii="Times New Roman" w:hAnsi="Times New Roman"/>
        </w:rPr>
        <w:t>Antimicrobial agents</w:t>
      </w:r>
    </w:p>
    <w:p>
      <w:r>
        <w:rPr>
          <w:rFonts w:ascii="Times New Roman" w:hAnsi="Times New Roman"/>
          <w:b/>
        </w:rPr>
        <w:t xml:space="preserve">Short running title: </w:t>
      </w:r>
      <w:r>
        <w:rPr>
          <w:rFonts w:ascii="Times New Roman" w:hAnsi="Times New Roman"/>
        </w:rPr>
        <w:t>QAC determinants and genome language models</w:t>
      </w:r>
    </w:p>
    <w:p>
      <w:r>
        <w:rPr>
          <w:rFonts w:ascii="Times New Roman" w:hAnsi="Times New Roman"/>
          <w:b/>
        </w:rPr>
        <w:t xml:space="preserve">Keywords: </w:t>
      </w:r>
      <w:r>
        <w:rPr>
          <w:rFonts w:ascii="Times New Roman" w:hAnsi="Times New Roman"/>
          <w:i/>
        </w:rPr>
        <w:t>Listeria</w:t>
      </w:r>
      <w:r>
        <w:rPr>
          <w:rFonts w:ascii="Times New Roman" w:hAnsi="Times New Roman"/>
          <w:i/>
        </w:rPr>
        <w:t xml:space="preserve"> monocytogenes</w:t>
      </w:r>
      <w:r>
        <w:rPr>
          <w:rFonts w:ascii="Times New Roman" w:hAnsi="Times New Roman"/>
        </w:rPr>
        <w:t>; benzalkonium chloride; disinfectant tolerance; quaternary ammonium compounds; DNABERT2; pharmaceutical water</w:t>
      </w:r>
    </w:p>
    <w:p>
      <w:pPr>
        <w:spacing w:after="0"/>
      </w:pPr>
      <w:r>
        <w:rPr>
          <w:rFonts w:ascii="Times New Roman" w:hAnsi="Times New Roman"/>
          <w:b/>
        </w:rPr>
        <w:t xml:space="preserve">One-sentence summary: </w:t>
      </w:r>
      <w:r>
        <w:rPr>
          <w:rFonts w:ascii="Times New Roman" w:hAnsi="Times New Roman"/>
        </w:rPr>
        <w:t>A leakage-aware public benchmark showed that known quaternary ammonium compound determinants explained Listeria benzalkonium chloride tolerance better than frozen genome language model embeddings, while pharmaceutical-water organisms remained suitable only for exploratory genomic prioritization.</w:t>
      </w:r>
      <w:r>
        <w:rPr>
          <w:rFonts w:ascii="Times New Roman" w:hAnsi="Times New Roman"/>
        </w:rPr>
        <w:br w:type="page"/>
      </w:r>
    </w:p>
    <w:p>
      <w:pPr>
        <w:pStyle w:val="Heading1"/>
        <w:jc w:val="both"/>
        <w:rPr/>
      </w:pPr>
      <w:r>
        <w:rPr>
          <w:rFonts w:ascii="Times New Roman" w:hAnsi="Times New Roman"/>
        </w:rPr>
        <w:t>Abstract</w:t>
      </w:r>
    </w:p>
    <w:p>
      <w:pPr>
        <w:pStyle w:val="Normal"/>
        <w:jc w:val="both"/>
        <w:rPr/>
      </w:pPr>
      <w:r>
        <w:rPr>
          <w:rFonts w:ascii="Times New Roman" w:hAnsi="Times New Roman"/>
        </w:rPr>
        <w:t xml:space="preserve">Whole-genome sequencing and pretrained DNA models may help prioritize disinfectant-tolerance hypotheses, but phenotype prediction requires measured, isolate-linked labels and evaluation that keeps related lineages apart. We compared conventional sequence features, numerical DNA representations generated by DNABERT2, and known quaternary ammonium compound (QAC) determinants in a public benchmark of 197 </w:t>
      </w:r>
      <w:r>
        <w:rPr>
          <w:rFonts w:ascii="Times New Roman" w:hAnsi="Times New Roman"/>
          <w:i/>
        </w:rPr>
        <w:t>Listeria monocytogenes</w:t>
      </w:r>
      <w:r>
        <w:rPr>
          <w:rFonts w:ascii="Times New Roman" w:hAnsi="Times New Roman"/>
        </w:rPr>
        <w:t xml:space="preserve"> isolates with benzalkonium chloride MIC data. Models were evaluated across five repeated lineage-grouped train, development, and test splits. The known-QAC determinant rule showed the highest balanced accuracy (mean ± SD, 0.961 ± 0.057) and ROC AUC (0.961 ± 0.057). A model combining k-mer, DNABERT2, and QAC scores reached balanced accuracy 0.915 ± 0.023, whereas the best DNABERT2-based classifier reached 0.570 ± 0.110; sparse k-mer models did not exceed the dummy baseline. Public non-</w:t>
      </w:r>
      <w:r>
        <w:rPr>
          <w:rFonts w:ascii="Times New Roman" w:hAnsi="Times New Roman"/>
          <w:i/>
        </w:rPr>
        <w:t>Listeria</w:t>
      </w:r>
      <w:r>
        <w:rPr>
          <w:rFonts w:ascii="Times New Roman" w:hAnsi="Times New Roman"/>
        </w:rPr>
        <w:t xml:space="preserve"> studies lacked the row-level phenotype-genome linkage required for supervised modelling. An exploratory bioinformatic screen therefore identified only candidate regions for future testing, not validated tolerance predictions. Because the benchmark contained only 197 publicly linkable isolates, these findings are hypothesis-generating and require confirmation in larger, independent phenotype-linked cohorts. Within these limits, interpretable determinants were the primary validated signal and DNA-model scores were secondary evidence.</w:t>
      </w:r>
    </w:p>
    <w:p>
      <w:pPr>
        <w:pStyle w:val="Heading1"/>
        <w:jc w:val="both"/>
        <w:rPr/>
      </w:pPr>
      <w:r>
        <w:rPr>
          <w:rFonts w:ascii="Times New Roman" w:hAnsi="Times New Roman"/>
        </w:rPr>
        <w:t>Introduction</w:t>
      </w:r>
    </w:p>
    <w:p>
      <w:pPr>
        <w:pStyle w:val="Normal"/>
        <w:jc w:val="both"/>
        <w:rPr/>
      </w:pPr>
      <w:r>
        <w:rPr>
          <w:rFonts w:ascii="Times New Roman" w:hAnsi="Times New Roman"/>
        </w:rPr>
        <w:t>Disinfectant tolerance is a practical concern in food, clinical, and pharmaceutical microbiology. A disinfectant may be used correctly and still fail to remove a subpopulation if the organism has relevant tolerance mechanisms, if cells are protected by the local environment, or if repeated low-level exposure selects for less susceptible strains. Quaternary ammonium compounds, including benzalkonium chloride and didecyldimethylammonium chloride, are widely used antimicrobial agents. Reduced susceptibility to these compounds can involve efflux pumps, membrane-associated mechanisms, mobile genetic elements, and co-selection with antibiotic resistance determinants. This is why tolerance to disinfectants should not be treated as a narrow technical issue. It intersects with environmental persistence, industrial hygiene, infection prevention, and antimicrobial resistance surveillance.</w:t>
      </w:r>
    </w:p>
    <w:p>
      <w:pPr>
        <w:pStyle w:val="Normal"/>
        <w:jc w:val="both"/>
        <w:rPr/>
      </w:pPr>
      <w:r>
        <w:rPr>
          <w:rFonts w:ascii="Times New Roman" w:hAnsi="Times New Roman"/>
        </w:rPr>
        <w:t>Genomic interpretation of biocide tolerance is helped by curated resources, but the information is still incomplete. BacMet was developed because bacterial biocide and metal resistance genes were scattered across the literature and public sequence repositories, and its experimentally supported component was designed to connect genes with resistance functions described in the scientific literature (Pal et al. 2014). MEGARes 3.0 provides a broader antimicrobial resistance hierarchy that includes drug, biocide, and metal resistance determinants and supports classifier-style use of curated nucleotide sequences (Bonin et al. 2023). AMRFinderPlus and the NCBI Reference Gene Catalog expanded antimicrobial resistance detection toward stress response and virulence-associated genes, which is useful when interpreting genomic regions that may have more than one biological role (Feldgarden et al. 2021). These databases are powerful starting points, but they are not a substitute for measured disinfectant phenotypes.</w:t>
      </w:r>
    </w:p>
    <w:p>
      <w:pPr>
        <w:pStyle w:val="Normal"/>
        <w:jc w:val="both"/>
        <w:rPr/>
      </w:pPr>
      <w:r>
        <w:rPr>
          <w:rFonts w:ascii="Times New Roman" w:hAnsi="Times New Roman"/>
        </w:rPr>
        <w:t xml:space="preserve">Machine learning has already been applied to disinfectant tolerance. In </w:t>
      </w:r>
      <w:r>
        <w:rPr>
          <w:rFonts w:ascii="Times New Roman" w:hAnsi="Times New Roman"/>
          <w:i/>
        </w:rPr>
        <w:t>Listeria monocytogenes</w:t>
      </w:r>
      <w:r>
        <w:rPr>
          <w:rFonts w:ascii="Times New Roman" w:hAnsi="Times New Roman"/>
        </w:rPr>
        <w:t>, Gmeiner et al. used whole-genome sequencing features and machine learning to predict tolerance to benzalkonium chloride and other disinfectants, reporting high balanced accuracy for benzalkonium chloride classification with L1-regularized logistic regression (Gmeiner et al. 2025). That study is an important benchmark because it included measured phenotypes, a large isolate set, and phylogeny-aware machine learning. It also sets a high bar for new computational work in this area. A new model is not useful simply because it is newer or more complex. It should either improve prediction under a fair validation design, explain the biology more clearly, or define a reproducible workflow that avoids common mistakes.</w:t>
      </w:r>
    </w:p>
    <w:p>
      <w:pPr>
        <w:pStyle w:val="Normal"/>
        <w:jc w:val="both"/>
        <w:rPr/>
      </w:pPr>
      <w:r>
        <w:rPr>
          <w:rFonts w:ascii="Times New Roman" w:hAnsi="Times New Roman"/>
        </w:rPr>
        <w:t>One common mistake is leakage. In microbial genomics, isolates from the same lineage can share large parts of their genome. If related isolates appear in both training and test data, a model can appear accurate because it recognizes lineage background rather than a mechanism related to the phenotype. This is especially important for small public data sets. A model that works under random isolate splitting may fail when tested on new lineages or on organisms from another environment. For this reason, the present study used lineage-grouped repeated train, development, and test splits and treated external validation as unavailable unless a public data set had row-level phenotype-genome linkage.</w:t>
      </w:r>
    </w:p>
    <w:p>
      <w:pPr>
        <w:pStyle w:val="Normal"/>
        <w:jc w:val="both"/>
        <w:rPr/>
      </w:pPr>
      <w:r>
        <w:rPr>
          <w:rFonts w:ascii="Times New Roman" w:hAnsi="Times New Roman"/>
        </w:rPr>
        <w:t>DNA language models offer a tempting route for analysing sequence. DNABERT2 first converts DNA fragments into numerical representations; a separate classifier can then use those representations as input features. DNABERT2 therefore represents and classifies sequence patterns, not disinfectant phenotypes by itself. Phenotype prediction requires training and evaluation against measured, isolate-linked susceptibility labels. DNABERT2 introduced byte-pair encoding and efficient multi-species genome modelling to reduce limitations of fixed k-mer tokenization (Zhou et al. 2024). Recent work has also evaluated DNABERT2 and Nucleotide Transformer for antimicrobial-resistance gene classification using curated databases such as MEGARes and CARD (Yoo et al. 2025). Such sequence-classification studies justify testing DNA representations, but they do not establish that an isolate survives disinfectant exposure.</w:t>
      </w:r>
    </w:p>
    <w:p>
      <w:pPr>
        <w:pStyle w:val="Normal"/>
        <w:jc w:val="both"/>
        <w:rPr/>
      </w:pPr>
      <w:r>
        <w:rPr>
          <w:rFonts w:ascii="Times New Roman" w:hAnsi="Times New Roman"/>
        </w:rPr>
        <w:t xml:space="preserve">Pharmaceutical-water systems create a stricter translational challenge. </w:t>
      </w:r>
      <w:r>
        <w:rPr>
          <w:rFonts w:ascii="Times New Roman" w:hAnsi="Times New Roman"/>
          <w:i/>
        </w:rPr>
        <w:t>Burkholderia cepacia complex</w:t>
      </w:r>
      <w:r>
        <w:rPr>
          <w:rFonts w:ascii="Times New Roman" w:hAnsi="Times New Roman"/>
        </w:rPr>
        <w:t xml:space="preserve"> bacteria are recognized contaminants of aqueous pharmaceutical and personal care products, and benzalkonium chloride solutions have been described as recurrent contamination sources (Tavares et al. 2020). Experimental work has shown intrinsic resistance of </w:t>
      </w:r>
      <w:r>
        <w:rPr>
          <w:rFonts w:ascii="Times New Roman" w:hAnsi="Times New Roman"/>
          <w:i/>
        </w:rPr>
        <w:t>Burkholderia cepacia complex</w:t>
      </w:r>
      <w:r>
        <w:rPr>
          <w:rFonts w:ascii="Times New Roman" w:hAnsi="Times New Roman"/>
        </w:rPr>
        <w:t xml:space="preserve"> to benzalkonium chloride and related homologues (Ahn et al. 2016). </w:t>
      </w:r>
      <w:r>
        <w:rPr>
          <w:rFonts w:ascii="Times New Roman" w:hAnsi="Times New Roman"/>
          <w:i/>
        </w:rPr>
        <w:t>Pseudomonas aeruginosa</w:t>
      </w:r>
      <w:r>
        <w:rPr>
          <w:rFonts w:ascii="Times New Roman" w:hAnsi="Times New Roman"/>
        </w:rPr>
        <w:t xml:space="preserve"> is also relevant to water and hospital environments, and Pottier et al. reported decreased susceptibility to didecyldimethylammonium chloride among clinical and environmental isolates, with genomic analysis for a subset (Pottier et al. 2023). These studies support the biological rationale for a pharmaceutical-water extension, but they do not automatically provide machine-learning-ready row-level phenotype-genome tables.</w:t>
      </w:r>
    </w:p>
    <w:p>
      <w:pPr>
        <w:pStyle w:val="Normal"/>
        <w:jc w:val="both"/>
        <w:rPr/>
      </w:pPr>
      <w:r>
        <w:rPr>
          <w:rFonts w:ascii="Times New Roman" w:hAnsi="Times New Roman"/>
        </w:rPr>
        <w:t xml:space="preserve">This study had three deliberately bounded aims. First, we constructed a reproducible public </w:t>
      </w:r>
      <w:r>
        <w:rPr>
          <w:rFonts w:ascii="Times New Roman" w:hAnsi="Times New Roman"/>
          <w:i/>
        </w:rPr>
        <w:t>Listeria monocytogenes</w:t>
      </w:r>
      <w:r>
        <w:rPr>
          <w:rFonts w:ascii="Times New Roman" w:hAnsi="Times New Roman"/>
        </w:rPr>
        <w:t xml:space="preserve"> benzalkonium chloride benchmark and compared dummy, k-mer, frozen DNABERT2, known-QAC determinant, and combined models under repeated lineage-grouped train, development, and test evaluation. Second, we used a separate MEGARes fragment task to test whether sequence models could recover curated biocide-relevant reference classes; this was sequence-fragment classification, not phenotype prediction. Third, we audited public non-</w:t>
      </w:r>
      <w:r>
        <w:rPr>
          <w:rFonts w:ascii="Times New Roman" w:hAnsi="Times New Roman"/>
          <w:i/>
        </w:rPr>
        <w:t>Listeria</w:t>
      </w:r>
      <w:r>
        <w:rPr>
          <w:rFonts w:ascii="Times New Roman" w:hAnsi="Times New Roman"/>
        </w:rPr>
        <w:t xml:space="preserve"> studies and performed only exploratory bioinformatic prioritization for pharmaceutical-water-relevant organisms. The novelty is therefore methodological and interpretive: a direct comparison under a common leakage-aware design, coupled to an evidence hierarchy in which DNA language models must demonstrate incremental value beyond simple biological baselines before supporting phenotype claims.</w:t>
      </w:r>
    </w:p>
    <w:p>
      <w:pPr>
        <w:pStyle w:val="Heading1"/>
        <w:jc w:val="both"/>
        <w:rPr/>
      </w:pPr>
      <w:r>
        <w:rPr>
          <w:rFonts w:ascii="Times New Roman" w:hAnsi="Times New Roman"/>
        </w:rPr>
        <w:t>Materials and Methods</w:t>
      </w:r>
    </w:p>
    <w:p>
      <w:pPr>
        <w:pStyle w:val="Heading2"/>
        <w:jc w:val="both"/>
        <w:rPr/>
      </w:pPr>
      <w:r>
        <w:rPr>
          <w:rFonts w:ascii="Times New Roman" w:hAnsi="Times New Roman"/>
        </w:rPr>
        <w:t xml:space="preserve">Public </w:t>
      </w:r>
      <w:r>
        <w:rPr>
          <w:rFonts w:ascii="Times New Roman" w:hAnsi="Times New Roman"/>
          <w:i/>
        </w:rPr>
        <w:t>Listeria</w:t>
      </w:r>
      <w:r>
        <w:rPr>
          <w:rFonts w:ascii="Times New Roman" w:hAnsi="Times New Roman"/>
        </w:rPr>
        <w:t xml:space="preserve"> benchmark</w:t>
      </w:r>
    </w:p>
    <w:p>
      <w:pPr>
        <w:pStyle w:val="Normal"/>
        <w:jc w:val="both"/>
        <w:rPr/>
      </w:pPr>
      <w:r>
        <w:rPr>
          <w:rFonts w:ascii="Times New Roman" w:hAnsi="Times New Roman"/>
        </w:rPr>
        <w:t xml:space="preserve">Public isolate metadata, benzalkonium chloride MIC values, and accession information were extracted from the supplementary material of Gmeiner et al. (2025). The working benchmark contained 197 </w:t>
      </w:r>
      <w:r>
        <w:rPr>
          <w:rFonts w:ascii="Times New Roman" w:hAnsi="Times New Roman"/>
          <w:i/>
        </w:rPr>
        <w:t>Listeria monocytogenes</w:t>
      </w:r>
      <w:r>
        <w:rPr>
          <w:rFonts w:ascii="Times New Roman" w:hAnsi="Times New Roman"/>
        </w:rPr>
        <w:t xml:space="preserve"> isolates with public assembly paths, binary benzalkonium chloride tolerance labels, MIC values, lineage or clonal-complex group labels, and source metadata. The binary endpoint followed the benzalkonium chloride threshold used by the source study. Public assemblies were used rather than full FASTQ data to reduce local storage requirements and to keep the workflow reproducible on a personal workstation.</w:t>
      </w:r>
    </w:p>
    <w:p>
      <w:pPr>
        <w:pStyle w:val="Normal"/>
        <w:jc w:val="both"/>
        <w:rPr/>
      </w:pPr>
      <w:r>
        <w:rPr>
          <w:rFonts w:ascii="Times New Roman" w:hAnsi="Times New Roman"/>
        </w:rPr>
        <w:t>The public subset should be understood as a reproducible benchmark subset, not as a replacement for the full data set of Gmeiner et al. (2025). It reflects constraints faced by many researchers: public accessions, limited local storage, and no new wet-lab measurements. Isolates without usable public sequence access or sufficient metadata were excluded. The resulting 197-isolate data set allowed comparison of modelling strategies under a common split design, but its small size limits precision and generalizability; all performance estimates should therefore be considered hypothesis-generating.</w:t>
      </w:r>
    </w:p>
    <w:p>
      <w:pPr>
        <w:pStyle w:val="Heading2"/>
        <w:jc w:val="both"/>
        <w:rPr/>
      </w:pPr>
      <w:r>
        <w:rPr>
          <w:rFonts w:ascii="Times New Roman" w:hAnsi="Times New Roman"/>
        </w:rPr>
        <w:t>Leakage-aware evaluation</w:t>
      </w:r>
    </w:p>
    <w:p>
      <w:pPr>
        <w:pStyle w:val="Normal"/>
        <w:jc w:val="both"/>
        <w:rPr/>
      </w:pPr>
      <w:r>
        <w:rPr>
          <w:rFonts w:ascii="Times New Roman" w:hAnsi="Times New Roman"/>
        </w:rPr>
        <w:t xml:space="preserve">All supervised </w:t>
      </w:r>
      <w:r>
        <w:rPr>
          <w:rFonts w:ascii="Times New Roman" w:hAnsi="Times New Roman"/>
          <w:i/>
        </w:rPr>
        <w:t>Listeria</w:t>
      </w:r>
      <w:r>
        <w:rPr>
          <w:rFonts w:ascii="Times New Roman" w:hAnsi="Times New Roman"/>
        </w:rPr>
        <w:t xml:space="preserve"> models were evaluated using five repeated lineage-grouped train, development, and test splits. Group labels were used to reduce lineage leakage. Thresholds and model choices were selected on development data, and final metrics were calculated on held-out test data. Mean and standard deviation (SD) were reported across the five repeated splits. Because the five split-level estimates are few and arise from overlapping repeated partitions rather than independent samples, we did not present them as inferential confidence intervals. Balanced accuracy was used as the primary metric because the endpoint was binary and class balance varied by split. ROC AUC and Brier score were secondary metrics. A dummy prior classifier was included as a metric floor.</w:t>
      </w:r>
    </w:p>
    <w:p>
      <w:pPr>
        <w:pStyle w:val="Normal"/>
        <w:jc w:val="both"/>
        <w:rPr/>
      </w:pPr>
      <w:r>
        <w:rPr>
          <w:rFonts w:ascii="Times New Roman" w:hAnsi="Times New Roman"/>
        </w:rPr>
        <w:t>Balanced accuracy was chosen because ordinary accuracy can be misleading when one class is more common than the other. It averages sensitivity and specificity, so a model must perform on both tolerant and non-tolerant isolates. ROC AUC was used to assess ranking ability across thresholds. Brier score was used as a simple probability-quality measure, where lower values indicate better calibrated or more correct probabilistic predictions. These metrics answer different questions. Balanced accuracy asks whether the final classifier makes useful decisions. ROC AUC asks whether scores rank positive isolates above negative isolates. Brier score asks whether predicted probabilities are numerically reliable.</w:t>
      </w:r>
    </w:p>
    <w:p>
      <w:pPr>
        <w:pStyle w:val="Heading2"/>
        <w:jc w:val="both"/>
        <w:rPr/>
      </w:pPr>
      <w:r>
        <w:rPr>
          <w:rFonts w:ascii="Times New Roman" w:hAnsi="Times New Roman"/>
        </w:rPr>
        <w:t>Sequence and embedding models</w:t>
      </w:r>
    </w:p>
    <w:p>
      <w:pPr>
        <w:pStyle w:val="Normal"/>
        <w:jc w:val="both"/>
        <w:rPr/>
      </w:pPr>
      <w:r>
        <w:rPr>
          <w:rFonts w:ascii="Times New Roman" w:hAnsi="Times New Roman"/>
        </w:rPr>
        <w:t xml:space="preserve">Sparse k-mer models used sampled genomic windows, TF-IDF vectorization, and logistic regression with L1, L2, or elastic-net regularization. In simple terms, these models count short DNA words and learn whether some words are more common in tolerant or non-tolerant isolates. DNABERT2 models used frozen embeddings from the published DNABERT2 model (Zhou et al. 2024). In this case, the large DNA model was used only to convert sequence windows into numerical features; it was not retrained on the </w:t>
      </w:r>
      <w:r>
        <w:rPr>
          <w:rFonts w:ascii="Times New Roman" w:hAnsi="Times New Roman"/>
          <w:i/>
        </w:rPr>
        <w:t>Listeria</w:t>
      </w:r>
      <w:r>
        <w:rPr>
          <w:rFonts w:ascii="Times New Roman" w:hAnsi="Times New Roman"/>
        </w:rPr>
        <w:t xml:space="preserve"> labels. The embedding classifier was regularized logistic regression with L1, L2, or elastic-net penalties.</w:t>
      </w:r>
    </w:p>
    <w:p>
      <w:pPr>
        <w:pStyle w:val="Normal"/>
        <w:jc w:val="both"/>
        <w:rPr/>
      </w:pPr>
      <w:r>
        <w:rPr>
          <w:rFonts w:ascii="Times New Roman" w:hAnsi="Times New Roman"/>
        </w:rPr>
        <w:t>A known-QAC determinant rule was evaluated as an interpretable biological comparator. This was important because the main question was not whether a complex model could produce a number, but whether it added value beyond known biology. A stacked model then combined the k-mer L2 score, the best DNABERT2 regularized score, and the QAC rule score in a logistic meta-model. Because the data set was small, the stack was considered secondary and exploratory. It was included to test whether the sequence models added useful information to the QAC rule, not to create a final black-box product.</w:t>
      </w:r>
    </w:p>
    <w:p>
      <w:pPr>
        <w:pStyle w:val="Heading2"/>
        <w:jc w:val="both"/>
        <w:rPr/>
      </w:pPr>
      <w:r>
        <w:rPr>
          <w:rFonts w:ascii="Times New Roman" w:hAnsi="Times New Roman"/>
        </w:rPr>
        <w:t>Curated-reference fragment task</w:t>
      </w:r>
    </w:p>
    <w:p>
      <w:pPr>
        <w:pStyle w:val="Normal"/>
        <w:jc w:val="both"/>
        <w:rPr/>
      </w:pPr>
      <w:r>
        <w:rPr>
          <w:rFonts w:ascii="Times New Roman" w:hAnsi="Times New Roman"/>
        </w:rPr>
        <w:t>MEGARes 3.0 was used as a curated nucleotide reference source for antimicrobial, biocide, and metal resistance determinants (Bonin et al. 2023). A binary biocide-relevance task contrasted biocide-relevant sequences against metal-only sequences. DNABERT2 plus XGBoost and k-mer random forest models were evaluated under full sequence, 1 percent synthetic nucleotide noise, and 500 bp partial-fragment conditions. This task was not an isolate-level tolerance benchmark. It was used to test whether sequence models could recover curated biocide-relevant reference classes.</w:t>
      </w:r>
    </w:p>
    <w:p>
      <w:pPr>
        <w:pStyle w:val="Heading2"/>
        <w:jc w:val="both"/>
        <w:rPr/>
      </w:pPr>
      <w:r>
        <w:rPr>
          <w:rFonts w:ascii="Times New Roman" w:hAnsi="Times New Roman"/>
        </w:rPr>
        <w:t>Public non-</w:t>
      </w:r>
      <w:r>
        <w:rPr>
          <w:rFonts w:ascii="Times New Roman" w:hAnsi="Times New Roman"/>
          <w:i/>
        </w:rPr>
        <w:t>Listeria</w:t>
      </w:r>
      <w:r>
        <w:rPr>
          <w:rFonts w:ascii="Times New Roman" w:hAnsi="Times New Roman"/>
        </w:rPr>
        <w:t xml:space="preserve"> data audit</w:t>
      </w:r>
    </w:p>
    <w:p>
      <w:pPr>
        <w:pStyle w:val="Normal"/>
        <w:jc w:val="both"/>
        <w:rPr/>
      </w:pPr>
      <w:r>
        <w:rPr>
          <w:rFonts w:ascii="Times New Roman" w:hAnsi="Times New Roman"/>
        </w:rPr>
        <w:t xml:space="preserve">Public studies were audited for three criteria: row-level disinfectant phenotype labels, strain or isolate identifiers, and public genome or assembly accessions that could be mapped to those same rows. All three were required. A paper with phenotypes but no public genomes cannot train a genome model. A BioProject with genomes but no row-level disinfectant labels cannot train a supervised tolerance model. A figure showing aggregate susceptibility patterns cannot be safely converted into isolate labels unless the underlying row-level data are available. The audit included </w:t>
      </w:r>
      <w:r>
        <w:rPr>
          <w:rFonts w:ascii="Times New Roman" w:hAnsi="Times New Roman"/>
          <w:i/>
        </w:rPr>
        <w:t>Pseudomonas aeruginosa</w:t>
      </w:r>
      <w:r>
        <w:rPr>
          <w:rFonts w:ascii="Times New Roman" w:hAnsi="Times New Roman"/>
        </w:rPr>
        <w:t xml:space="preserve"> DDAC data from Pottier et al. (2023), </w:t>
      </w:r>
      <w:r>
        <w:rPr>
          <w:rFonts w:ascii="Times New Roman" w:hAnsi="Times New Roman"/>
          <w:i/>
        </w:rPr>
        <w:t>Burkholderia cepacia complex</w:t>
      </w:r>
      <w:r>
        <w:rPr>
          <w:rFonts w:ascii="Times New Roman" w:hAnsi="Times New Roman"/>
        </w:rPr>
        <w:t xml:space="preserve"> chlorhexidine and benzalkonium chloride studies, </w:t>
      </w:r>
      <w:r>
        <w:rPr>
          <w:rFonts w:ascii="Times New Roman" w:hAnsi="Times New Roman"/>
          <w:i/>
        </w:rPr>
        <w:t>Acinetobacter</w:t>
      </w:r>
      <w:r>
        <w:rPr>
          <w:rFonts w:ascii="Times New Roman" w:hAnsi="Times New Roman"/>
        </w:rPr>
        <w:t xml:space="preserve"> and </w:t>
      </w:r>
      <w:r>
        <w:rPr>
          <w:rFonts w:ascii="Times New Roman" w:hAnsi="Times New Roman"/>
          <w:i/>
        </w:rPr>
        <w:t>Klebsiella</w:t>
      </w:r>
      <w:r>
        <w:rPr>
          <w:rFonts w:ascii="Times New Roman" w:hAnsi="Times New Roman"/>
        </w:rPr>
        <w:t xml:space="preserve"> biocide studies, </w:t>
      </w:r>
      <w:r>
        <w:rPr>
          <w:rFonts w:ascii="Times New Roman" w:hAnsi="Times New Roman"/>
          <w:i/>
        </w:rPr>
        <w:t>Proteus</w:t>
      </w:r>
      <w:r>
        <w:rPr>
          <w:rFonts w:ascii="Times New Roman" w:hAnsi="Times New Roman"/>
        </w:rPr>
        <w:t xml:space="preserve"> supplemental material, and </w:t>
      </w:r>
      <w:r>
        <w:rPr>
          <w:rFonts w:ascii="Times New Roman" w:hAnsi="Times New Roman"/>
          <w:i/>
        </w:rPr>
        <w:t>Enterococcus</w:t>
      </w:r>
      <w:r>
        <w:rPr>
          <w:rFonts w:ascii="Times New Roman" w:hAnsi="Times New Roman"/>
        </w:rPr>
        <w:t xml:space="preserve"> or hospital-environment near misses. Studies lacking row-level phenotype-genome linkage were excluded from supervised modelling.</w:t>
      </w:r>
    </w:p>
    <w:p>
      <w:pPr>
        <w:pStyle w:val="Heading2"/>
        <w:jc w:val="both"/>
        <w:rPr/>
      </w:pPr>
      <w:r>
        <w:rPr>
          <w:rFonts w:ascii="Times New Roman" w:hAnsi="Times New Roman"/>
        </w:rPr>
        <w:t>Exploratory bioinformatic prioritization of pharmaceutical-water candidate regions</w:t>
      </w:r>
    </w:p>
    <w:p>
      <w:pPr>
        <w:pStyle w:val="Normal"/>
        <w:jc w:val="both"/>
        <w:rPr/>
      </w:pPr>
      <w:r>
        <w:rPr>
          <w:rFonts w:ascii="Times New Roman" w:hAnsi="Times New Roman"/>
        </w:rPr>
        <w:t xml:space="preserve">Public assemblies from </w:t>
      </w:r>
      <w:r>
        <w:rPr>
          <w:rFonts w:ascii="Times New Roman" w:hAnsi="Times New Roman"/>
          <w:i/>
        </w:rPr>
        <w:t>Burkholderia cepacia complex</w:t>
      </w:r>
      <w:r>
        <w:rPr>
          <w:rFonts w:ascii="Times New Roman" w:hAnsi="Times New Roman"/>
        </w:rPr>
        <w:t xml:space="preserve">, </w:t>
      </w:r>
      <w:r>
        <w:rPr>
          <w:rFonts w:ascii="Times New Roman" w:hAnsi="Times New Roman"/>
          <w:i/>
        </w:rPr>
        <w:t>Ralstonia pickettii</w:t>
      </w:r>
      <w:r>
        <w:rPr>
          <w:rFonts w:ascii="Times New Roman" w:hAnsi="Times New Roman"/>
        </w:rPr>
        <w:t xml:space="preserve">, </w:t>
      </w:r>
      <w:r>
        <w:rPr>
          <w:rFonts w:ascii="Times New Roman" w:hAnsi="Times New Roman"/>
          <w:i/>
        </w:rPr>
        <w:t>Pseudomonas aeruginosa</w:t>
      </w:r>
      <w:r>
        <w:rPr>
          <w:rFonts w:ascii="Times New Roman" w:hAnsi="Times New Roman"/>
        </w:rPr>
        <w:t xml:space="preserve">, and </w:t>
      </w:r>
      <w:r>
        <w:rPr>
          <w:rFonts w:ascii="Times New Roman" w:hAnsi="Times New Roman"/>
          <w:i/>
        </w:rPr>
        <w:t>Stenotrophomonas maltophilia</w:t>
      </w:r>
      <w:r>
        <w:rPr>
          <w:rFonts w:ascii="Times New Roman" w:hAnsi="Times New Roman"/>
        </w:rPr>
        <w:t xml:space="preserve"> were screened only for exploratory bioinformatic prioritization. Candidate regions were ranked using MEGARes hits, AMRFinderPlus annotations, BacMet biocide- or QAC-associated evidence, and selective DNABERT2 biocide-relevance scores (AMRFinderPlus database version 2026-05-15.1). The endpoint was multi-channel annotation support, not measured survival, MIC, or phenotype-validated tolerance.</w:t>
      </w:r>
    </w:p>
    <w:p>
      <w:pPr>
        <w:pStyle w:val="Normal"/>
        <w:jc w:val="both"/>
        <w:rPr/>
      </w:pPr>
      <w:r>
        <w:rPr>
          <w:rFonts w:ascii="Times New Roman" w:hAnsi="Times New Roman"/>
        </w:rPr>
        <w:t>The ranking was intended to select regions for experimental follow-up. Regions supported by multiple annotation channels were prioritized over regions supported by a DNA-model score alone; no organism-level tolerance classification was assigned.</w:t>
      </w:r>
    </w:p>
    <w:p>
      <w:pPr>
        <w:pStyle w:val="Heading1"/>
        <w:jc w:val="both"/>
        <w:rPr/>
      </w:pPr>
      <w:r>
        <w:rPr>
          <w:rFonts w:ascii="Times New Roman" w:hAnsi="Times New Roman"/>
        </w:rPr>
        <w:t>Results</w:t>
      </w:r>
    </w:p>
    <w:p>
      <w:pPr>
        <w:pStyle w:val="Heading2"/>
        <w:jc w:val="both"/>
        <w:rPr/>
      </w:pPr>
      <w:r>
        <w:rPr>
          <w:rFonts w:ascii="Times New Roman" w:hAnsi="Times New Roman"/>
        </w:rPr>
        <w:t xml:space="preserve">Known QAC determinant calls outperformed sequence-only models in the </w:t>
      </w:r>
      <w:r>
        <w:rPr>
          <w:rFonts w:ascii="Times New Roman" w:hAnsi="Times New Roman"/>
          <w:i/>
        </w:rPr>
        <w:t>Listeria</w:t>
      </w:r>
      <w:r>
        <w:rPr>
          <w:rFonts w:ascii="Times New Roman" w:hAnsi="Times New Roman"/>
        </w:rPr>
        <w:t xml:space="preserve"> benchmark</w:t>
      </w:r>
    </w:p>
    <w:p>
      <w:pPr>
        <w:pStyle w:val="Normal"/>
        <w:jc w:val="both"/>
        <w:rPr/>
      </w:pPr>
      <w:r>
        <w:rPr>
          <w:rFonts w:ascii="Times New Roman" w:hAnsi="Times New Roman"/>
        </w:rPr>
        <w:t>The grouped benchmark showed a clear performance hierarchy (Table 1; Figure 2). Across five repeated grouped splits, the known-QAC determinant rule had the highest balanced accuracy (mean ± SD, 0.961 ± 0.057) and ROC AUC (0.961 ± 0.057). The combined model ranked second for balanced accuracy (0.915 ± 0.023) and had ROC AUC 0.958 ± 0.059. Thus, adding k-mer and DNABERT2 scores did not improve the primary metric over the fixed QAC rule.</w:t>
      </w:r>
    </w:p>
    <w:p>
      <w:pPr>
        <w:pStyle w:val="Normal"/>
        <w:jc w:val="both"/>
        <w:rPr/>
      </w:pPr>
      <w:r>
        <w:rPr>
          <w:rFonts w:ascii="Times New Roman" w:hAnsi="Times New Roman"/>
        </w:rPr>
        <w:t>This result is important because the strongest model was not the most computationally complex model. The fixed QAC rule had a clear biological interpretation and performed better than the learned stack on the main classification metric. The stack still had a high ROC AUC, which suggests that combining signals can rank isolates well. However, the primary practical question was whether the final classifier separated tolerant and non-tolerant isolates under grouped evaluation. By that standard, the QAC rule was the strongest model in this public subset.</w:t>
      </w:r>
    </w:p>
    <w:p>
      <w:pPr>
        <w:pStyle w:val="Normal"/>
        <w:jc w:val="both"/>
        <w:rPr/>
      </w:pPr>
      <w:r>
        <w:rPr>
          <w:rFonts w:ascii="Times New Roman" w:hAnsi="Times New Roman"/>
        </w:rPr>
        <w:t>Frozen DNABERT2 representations showed weak standalone phenotype-prediction signal. The best DNABERT2 classifier, elastic-net logistic regression, achieved balanced accuracy 0.570 ± 0.110 and ROC AUC 0.582 ± 0.085. The k-mer L2 model achieved balanced accuracy 0.493 ± 0.036 and ROC AUC 0.571 ± 0.050, compared with 0.500 for both metrics for the dummy classifier. Table 1 and Figure 2 present models in performance order and identify error bars as SD across the five grouped splits.</w:t>
      </w:r>
    </w:p>
    <w:p>
      <w:pPr>
        <w:pStyle w:val="Normal"/>
        <w:jc w:val="both"/>
        <w:rPr/>
      </w:pPr>
      <w:r>
        <w:rPr>
          <w:rFonts w:ascii="Times New Roman" w:hAnsi="Times New Roman"/>
        </w:rPr>
        <w:t xml:space="preserve">These results do not support a claim that DNABERT2 is superior to known biology for this endpoint. They instead support the narrower claim that known QAC determinants explain most of the labeled benzalkonium chloride tolerance signal in this public </w:t>
      </w:r>
      <w:r>
        <w:rPr>
          <w:rFonts w:ascii="Times New Roman" w:hAnsi="Times New Roman"/>
          <w:i/>
        </w:rPr>
        <w:t>Listeria</w:t>
      </w:r>
      <w:r>
        <w:rPr>
          <w:rFonts w:ascii="Times New Roman" w:hAnsi="Times New Roman"/>
        </w:rPr>
        <w:t xml:space="preserve"> subset, and that frozen DNABERT2 embeddings are best treated as secondary evidence. For non-coding readers, the key point is that a large pretrained DNA model did not automatically outperform a small rule based on known resistance biology. This does not mean that DNA language models are useless. It means that their value must be tested against simpler and more interpretable alternatives.</w:t>
      </w:r>
    </w:p>
    <w:p>
      <w:pPr>
        <w:pStyle w:val="Heading2"/>
        <w:jc w:val="both"/>
        <w:rPr/>
      </w:pPr>
      <w:r>
        <w:rPr>
          <w:rFonts w:ascii="Times New Roman" w:hAnsi="Times New Roman"/>
        </w:rPr>
        <w:t>MEGARes fragment classification supported sequence-model use as a reference-screening tool</w:t>
      </w:r>
    </w:p>
    <w:p>
      <w:pPr>
        <w:pStyle w:val="Normal"/>
        <w:jc w:val="both"/>
        <w:rPr/>
      </w:pPr>
      <w:r>
        <w:rPr>
          <w:rFonts w:ascii="Times New Roman" w:hAnsi="Times New Roman"/>
        </w:rPr>
        <w:t>The curated-reference task had a different endpoint: classification of reference-sequence fragments, not prediction of measured isolate tolerance. For full fragments, DNABERT2 plus XGBoost reached calibrated balanced accuracy 0.731 ± 0.040 and ROC AUC 0.802 ± 0.042; k-mer random forest reached 0.708 ± 0.041 and 0.809 ± 0.034, respectively. Performance was similar under 1% synthetic nucleotide noise and lower for 500-bp partial fragments (Table 3; Figure 2D). These results support sequence-fragment screening against curated reference classes, but cannot be interpreted as MIC or tolerance prediction.</w:t>
      </w:r>
    </w:p>
    <w:p>
      <w:pPr>
        <w:pStyle w:val="Heading2"/>
        <w:jc w:val="both"/>
        <w:rPr/>
      </w:pPr>
      <w:r>
        <w:rPr>
          <w:rFonts w:ascii="Times New Roman" w:hAnsi="Times New Roman"/>
        </w:rPr>
        <w:t>Public non-</w:t>
      </w:r>
      <w:r>
        <w:rPr>
          <w:rFonts w:ascii="Times New Roman" w:hAnsi="Times New Roman"/>
          <w:i/>
        </w:rPr>
        <w:t>Listeria</w:t>
      </w:r>
      <w:r>
        <w:rPr>
          <w:rFonts w:ascii="Times New Roman" w:hAnsi="Times New Roman"/>
        </w:rPr>
        <w:t xml:space="preserve"> phenotype-genome linkage was the limiting factor</w:t>
      </w:r>
    </w:p>
    <w:p>
      <w:pPr>
        <w:pStyle w:val="Normal"/>
        <w:jc w:val="both"/>
        <w:rPr/>
      </w:pPr>
      <w:r>
        <w:rPr>
          <w:rFonts w:ascii="Times New Roman" w:hAnsi="Times New Roman"/>
        </w:rPr>
        <w:t>The public data audit found that several non-</w:t>
      </w:r>
      <w:r>
        <w:rPr>
          <w:rFonts w:ascii="Times New Roman" w:hAnsi="Times New Roman"/>
          <w:i/>
        </w:rPr>
        <w:t>Listeria</w:t>
      </w:r>
      <w:r>
        <w:rPr>
          <w:rFonts w:ascii="Times New Roman" w:hAnsi="Times New Roman"/>
        </w:rPr>
        <w:t xml:space="preserve"> organisms were biologically relevant but not ready for supervised modelling. Pottier et al. (2023) reported DDAC susceptibility for </w:t>
      </w:r>
      <w:r>
        <w:rPr>
          <w:rFonts w:ascii="Times New Roman" w:hAnsi="Times New Roman"/>
          <w:i/>
        </w:rPr>
        <w:t>Pseudomonas aeruginosa</w:t>
      </w:r>
      <w:r>
        <w:rPr>
          <w:rFonts w:ascii="Times New Roman" w:hAnsi="Times New Roman"/>
        </w:rPr>
        <w:t xml:space="preserve"> and public sequencing for 77 isolates, but the public figshare phenotype material available to this workflow consisted of figure or image files rather than a row-level DDAC table that could be linked to assemblies. </w:t>
      </w:r>
      <w:r>
        <w:rPr>
          <w:rFonts w:ascii="Times New Roman" w:hAnsi="Times New Roman"/>
          <w:i/>
        </w:rPr>
        <w:t>Burkholderia cepacia complex</w:t>
      </w:r>
      <w:r>
        <w:rPr>
          <w:rFonts w:ascii="Times New Roman" w:hAnsi="Times New Roman"/>
        </w:rPr>
        <w:t xml:space="preserve"> studies provided row-level chlorhexidine and benzalkonium chloride phenotypes for 75 strains, but only nine strains had straightforward public assembly matches in the automated audit. </w:t>
      </w:r>
      <w:r>
        <w:rPr>
          <w:rFonts w:ascii="Times New Roman" w:hAnsi="Times New Roman"/>
          <w:i/>
        </w:rPr>
        <w:t>Acinetobacter</w:t>
      </w:r>
      <w:r>
        <w:rPr>
          <w:rFonts w:ascii="Times New Roman" w:hAnsi="Times New Roman"/>
        </w:rPr>
        <w:t xml:space="preserve"> and </w:t>
      </w:r>
      <w:r>
        <w:rPr>
          <w:rFonts w:ascii="Times New Roman" w:hAnsi="Times New Roman"/>
          <w:i/>
        </w:rPr>
        <w:t>Klebsiella</w:t>
      </w:r>
      <w:r>
        <w:rPr>
          <w:rFonts w:ascii="Times New Roman" w:hAnsi="Times New Roman"/>
        </w:rPr>
        <w:t xml:space="preserve"> studies, and the </w:t>
      </w:r>
      <w:r>
        <w:rPr>
          <w:rFonts w:ascii="Times New Roman" w:hAnsi="Times New Roman"/>
          <w:i/>
        </w:rPr>
        <w:t>Proteus</w:t>
      </w:r>
      <w:r>
        <w:rPr>
          <w:rFonts w:ascii="Times New Roman" w:hAnsi="Times New Roman"/>
        </w:rPr>
        <w:t xml:space="preserve"> workbook supplied during this project, were also near misses because row-level phenotype-genome linkage was absent or incomplete. These findings are summarized in Table 2.</w:t>
      </w:r>
    </w:p>
    <w:p>
      <w:pPr>
        <w:pStyle w:val="Normal"/>
        <w:jc w:val="both"/>
        <w:rPr/>
      </w:pPr>
      <w:r>
        <w:rPr>
          <w:rFonts w:ascii="Times New Roman" w:hAnsi="Times New Roman"/>
        </w:rPr>
        <w:t>This negative audit is a result, not only a logistical problem. It shows why many apparently attractive public biocide studies cannot immediately become supervised machine-learning benchmarks. For a defensible model, each row must connect the same isolate to both the phenotype and the genome. Without that connection, any labels assigned to genomes would be assumptions rather than data. The audit therefore prevented a stronger-looking but weaker scientific claim.</w:t>
      </w:r>
    </w:p>
    <w:p>
      <w:pPr>
        <w:pStyle w:val="Heading2"/>
        <w:jc w:val="both"/>
        <w:rPr/>
      </w:pPr>
      <w:r>
        <w:rPr>
          <w:rFonts w:ascii="Times New Roman" w:hAnsi="Times New Roman"/>
        </w:rPr>
        <w:t>Exploratory bioinformatic prioritization identified candidate regions for testing</w:t>
      </w:r>
    </w:p>
    <w:p>
      <w:pPr>
        <w:pStyle w:val="Normal"/>
        <w:jc w:val="both"/>
        <w:rPr/>
      </w:pPr>
      <w:r>
        <w:rPr>
          <w:rFonts w:ascii="Times New Roman" w:hAnsi="Times New Roman"/>
        </w:rPr>
        <w:t>The exploratory screen evaluated 1,076 regions: 676 MEGARes-hit regions and 400 background regions. Of these, 338 had nearby AMRFinderPlus evidence, 229 had nearby BacMet biocide-protein evidence, and 33 had nearby BacMet QAC-protein evidence. A concise set of representative, multi-channel candidates is shown in Table 4; the complete candidate list is retained in the Supplementary Material. These region-level rankings are hypotheses for experimental follow-up, not organism-level tolerance predictions.</w:t>
      </w:r>
    </w:p>
    <w:p>
      <w:pPr>
        <w:pStyle w:val="Normal"/>
        <w:jc w:val="both"/>
        <w:rPr/>
      </w:pPr>
      <w:r>
        <w:rPr>
          <w:rFonts w:ascii="Times New Roman" w:hAnsi="Times New Roman"/>
        </w:rPr>
        <w:t>No inference was made about survival in benzalkonium chloride, didecyldimethylammonium chloride, chlorhexidine, peracetic acid, or sodium hypochlorite. Such claims require matched phenotype testing under defined exposure conditions.</w:t>
      </w:r>
    </w:p>
    <w:p>
      <w:pPr>
        <w:pStyle w:val="Heading1"/>
        <w:jc w:val="both"/>
        <w:rPr/>
      </w:pPr>
      <w:r>
        <w:rPr>
          <w:rFonts w:ascii="Times New Roman" w:hAnsi="Times New Roman"/>
        </w:rPr>
        <w:t>Discussion</w:t>
      </w:r>
    </w:p>
    <w:p>
      <w:pPr>
        <w:pStyle w:val="Normal"/>
        <w:jc w:val="both"/>
        <w:rPr/>
      </w:pPr>
      <w:r>
        <w:rPr>
          <w:rFonts w:ascii="Times New Roman" w:hAnsi="Times New Roman"/>
        </w:rPr>
        <w:t xml:space="preserve">The main result is conservative but methodologically informative: in a public 197-isolate </w:t>
      </w:r>
      <w:r>
        <w:rPr>
          <w:rFonts w:ascii="Times New Roman" w:hAnsi="Times New Roman"/>
          <w:i/>
        </w:rPr>
        <w:t>Listeria monocytogenes</w:t>
      </w:r>
      <w:r>
        <w:rPr>
          <w:rFonts w:ascii="Times New Roman" w:hAnsi="Times New Roman"/>
        </w:rPr>
        <w:t xml:space="preserve"> benchmark, a known-QAC determinant rule outperformed frozen DNABERT2 representations, sparse k-mer models, and a small combined model under repeated lineage-grouped evaluation. This does not claim a biological discovery beyond Gmeiner et al. (2025), nor a performance improvement over their larger study. The contribution is a reproducible public-subset comparison that applies the same leakage-aware design to simple baselines, known determinants, and a genome language model, and shows that model complexity did not add value to the primary metric.</w:t>
      </w:r>
    </w:p>
    <w:p>
      <w:pPr>
        <w:pStyle w:val="Normal"/>
        <w:jc w:val="both"/>
        <w:rPr/>
      </w:pPr>
      <w:r>
        <w:rPr>
          <w:rFonts w:ascii="Times New Roman" w:hAnsi="Times New Roman"/>
        </w:rPr>
        <w:t>This is a useful message for the field because it pushes back against a simple "new model is better" story. The best comparator in Gmeiner et al. (2025) was not a transformer model; it was a regularized model using whole-genome-derived features. In the present public subset, the strongest result was even simpler: a known-QAC determinant rule. This does not reduce the value of machine learning. Instead, it clarifies where machine learning is needed. If a phenotype is strongly associated with a known determinant, a transparent rule may be enough for a first-pass classifier. More complex models become most useful when they explain residual cases, generalize to new mechanisms, or integrate evidence across weak signals.</w:t>
      </w:r>
    </w:p>
    <w:p>
      <w:pPr>
        <w:pStyle w:val="Normal"/>
        <w:jc w:val="both"/>
        <w:rPr/>
      </w:pPr>
      <w:r>
        <w:rPr>
          <w:rFonts w:ascii="Times New Roman" w:hAnsi="Times New Roman"/>
        </w:rPr>
        <w:t xml:space="preserve">Genome language models are increasingly accessible and can be tempting to use as direct predictors. DNABERT2 is a foundation model for genomic sequence representation (Zhou et al. 2024), and language-model methods can contribute to curated gene- or fragment-classification tasks (Yoo et al. 2025). Those endpoints differ from phenotype prediction. In this study, the MEGARes task classified sequence fragments by curated reference class, whereas the </w:t>
      </w:r>
      <w:r>
        <w:rPr>
          <w:rFonts w:ascii="Times New Roman" w:hAnsi="Times New Roman"/>
          <w:i/>
        </w:rPr>
        <w:t>Listeria</w:t>
      </w:r>
      <w:r>
        <w:rPr>
          <w:rFonts w:ascii="Times New Roman" w:hAnsi="Times New Roman"/>
        </w:rPr>
        <w:t xml:space="preserve"> benchmark predicted an isolate-level phenotype linked to measured MIC data. Performance on the fragment task therefore cannot establish that an organism is tolerant to a disinfectant.</w:t>
      </w:r>
    </w:p>
    <w:p>
      <w:pPr>
        <w:pStyle w:val="Normal"/>
        <w:jc w:val="both"/>
        <w:rPr/>
      </w:pPr>
      <w:r>
        <w:rPr>
          <w:rFonts w:ascii="Times New Roman" w:hAnsi="Times New Roman"/>
        </w:rPr>
        <w:t xml:space="preserve">A practical interpretation is that genome language models should be treated as one evidence channel. In this study, DNABERT2 was useful enough to include in a model ladder and in a curated-reference screening task, but it was not strong enough as a standalone </w:t>
      </w:r>
      <w:r>
        <w:rPr>
          <w:rFonts w:ascii="Times New Roman" w:hAnsi="Times New Roman"/>
          <w:i/>
        </w:rPr>
        <w:t>Listeria</w:t>
      </w:r>
      <w:r>
        <w:rPr>
          <w:rFonts w:ascii="Times New Roman" w:hAnsi="Times New Roman"/>
        </w:rPr>
        <w:t xml:space="preserve"> tolerance classifier. This is still informative. A weak or moderate result under a careful validation design is more useful than a high score produced by a leaky or poorly defined benchmark. It tells researchers where the method is not yet sufficient.</w:t>
      </w:r>
    </w:p>
    <w:p>
      <w:pPr>
        <w:pStyle w:val="Normal"/>
        <w:jc w:val="both"/>
        <w:rPr/>
      </w:pPr>
      <w:r>
        <w:rPr>
          <w:rFonts w:ascii="Times New Roman" w:hAnsi="Times New Roman"/>
        </w:rPr>
        <w:t xml:space="preserve">The pharmaceutical-water extension was restricted to exploratory bioinformatic prioritization. </w:t>
      </w:r>
      <w:r>
        <w:rPr>
          <w:rFonts w:ascii="Times New Roman" w:hAnsi="Times New Roman"/>
          <w:i/>
        </w:rPr>
        <w:t>Burkholderia cepacia complex</w:t>
      </w:r>
      <w:r>
        <w:rPr>
          <w:rFonts w:ascii="Times New Roman" w:hAnsi="Times New Roman"/>
        </w:rPr>
        <w:t xml:space="preserve">, </w:t>
      </w:r>
      <w:r>
        <w:rPr>
          <w:rFonts w:ascii="Times New Roman" w:hAnsi="Times New Roman"/>
          <w:i/>
        </w:rPr>
        <w:t>Pseudomonas aeruginosa</w:t>
      </w:r>
      <w:r>
        <w:rPr>
          <w:rFonts w:ascii="Times New Roman" w:hAnsi="Times New Roman"/>
        </w:rPr>
        <w:t xml:space="preserve">, </w:t>
      </w:r>
      <w:r>
        <w:rPr>
          <w:rFonts w:ascii="Times New Roman" w:hAnsi="Times New Roman"/>
          <w:i/>
        </w:rPr>
        <w:t>Ralstonia pickettii</w:t>
      </w:r>
      <w:r>
        <w:rPr>
          <w:rFonts w:ascii="Times New Roman" w:hAnsi="Times New Roman"/>
        </w:rPr>
        <w:t xml:space="preserve">, and </w:t>
      </w:r>
      <w:r>
        <w:rPr>
          <w:rFonts w:ascii="Times New Roman" w:hAnsi="Times New Roman"/>
          <w:i/>
        </w:rPr>
        <w:t>Stenotrophomonas maltophilia</w:t>
      </w:r>
      <w:r>
        <w:rPr>
          <w:rFonts w:ascii="Times New Roman" w:hAnsi="Times New Roman"/>
        </w:rPr>
        <w:t xml:space="preserve"> are relevant to water systems, aqueous products, or opportunistic contamination, but relevance and multi-channel genomic annotation are not supervised phenotype labels. The public-data audit identified the principal barrier as the lack of machine-readable, row-level disinfectant phenotypes linked to the available genomes.</w:t>
      </w:r>
    </w:p>
    <w:p>
      <w:pPr>
        <w:pStyle w:val="Normal"/>
        <w:jc w:val="both"/>
        <w:rPr/>
      </w:pPr>
      <w:r>
        <w:rPr>
          <w:rFonts w:ascii="Times New Roman" w:hAnsi="Times New Roman"/>
        </w:rPr>
        <w:t>Accordingly, the screen can nominate regions or strains for follow-up but cannot predict survival in a cleaning process or classify tolerance above an MIC threshold. This boundary is especially important for pharmaceutical and regulatory interpretation.</w:t>
      </w:r>
    </w:p>
    <w:p>
      <w:pPr>
        <w:pStyle w:val="Normal"/>
        <w:jc w:val="both"/>
        <w:rPr/>
      </w:pPr>
      <w:r>
        <w:rPr>
          <w:rFonts w:ascii="Times New Roman" w:hAnsi="Times New Roman"/>
        </w:rPr>
        <w:t>The study has five principal limitations. First, the supervised analysis used only 197 publicly linkable isolates rather than the full data set analysed by Gmeiner et al. (2025), reducing statistical power, precision, and generalizability; the findings are therefore hypothesis-generating. Second, the QAC rule and benzalkonium chloride endpoint are biologically close, so the rule's performance must not be generalized to other disinfectants or organisms. Third, DNABERT2 representations were frozen and aggregated over sampled windows; fine-tuning, longer-context models, and organism-specific pretraining were not tested. Fourth, the combined model was exploratory because of the small sample. Fifth, the pharmaceutical-water screen lacked measured MIC or survival labels and cannot support validated tolerance prediction.</w:t>
      </w:r>
    </w:p>
    <w:p>
      <w:pPr>
        <w:pStyle w:val="Normal"/>
        <w:jc w:val="both"/>
        <w:rPr/>
      </w:pPr>
      <w:r>
        <w:rPr>
          <w:rFonts w:ascii="Times New Roman" w:hAnsi="Times New Roman"/>
        </w:rPr>
        <w:t>A further limitation is that genomic presence does not always equal gene expression or functional tolerance. Efflux genes may be silent, regulated differently under stress, or affected by mutations outside the screened region. Conversely, tolerance can arise from physiology, biofilm state, membrane composition, growth phase, or process conditions that are not captured by a genome sequence alone. These issues are not unique to DNABERT2 or to this project. They are general limitations of predicting microbial phenotypes from DNA alone.</w:t>
      </w:r>
    </w:p>
    <w:p>
      <w:pPr>
        <w:pStyle w:val="Normal"/>
        <w:jc w:val="both"/>
        <w:rPr/>
      </w:pPr>
      <w:r>
        <w:rPr>
          <w:rFonts w:ascii="Times New Roman" w:hAnsi="Times New Roman"/>
        </w:rPr>
        <w:t xml:space="preserve">Within those boundaries, the workflow provides a practical template. It starts with an experimentally labelled benchmark, compares black-box sequence models against interpretable biological rules and dummy baselines, audits external data before modelling, and separates validated prediction from exploratory prioritization. This separation is important for regulatory and pharmaceutical contexts, where overstating computational predictions could create false confidence. The most direct next validation step would be targeted MIC or survival testing of top-ranked candidate strains or regions in </w:t>
      </w:r>
      <w:r>
        <w:rPr>
          <w:rFonts w:ascii="Times New Roman" w:hAnsi="Times New Roman"/>
          <w:i/>
        </w:rPr>
        <w:t>Burkholderia cepacia complex</w:t>
      </w:r>
      <w:r>
        <w:rPr>
          <w:rFonts w:ascii="Times New Roman" w:hAnsi="Times New Roman"/>
        </w:rPr>
        <w:t xml:space="preserve">, </w:t>
      </w:r>
      <w:r>
        <w:rPr>
          <w:rFonts w:ascii="Times New Roman" w:hAnsi="Times New Roman"/>
          <w:i/>
        </w:rPr>
        <w:t>Pseudomonas aeruginosa</w:t>
      </w:r>
      <w:r>
        <w:rPr>
          <w:rFonts w:ascii="Times New Roman" w:hAnsi="Times New Roman"/>
        </w:rPr>
        <w:t xml:space="preserve">, and </w:t>
      </w:r>
      <w:r>
        <w:rPr>
          <w:rFonts w:ascii="Times New Roman" w:hAnsi="Times New Roman"/>
          <w:i/>
        </w:rPr>
        <w:t>Stenotrophomonas maltophilia</w:t>
      </w:r>
      <w:r>
        <w:rPr>
          <w:rFonts w:ascii="Times New Roman" w:hAnsi="Times New Roman"/>
        </w:rPr>
        <w:t xml:space="preserve"> under defined disinfectant exposures.</w:t>
      </w:r>
    </w:p>
    <w:p>
      <w:pPr>
        <w:pStyle w:val="Normal"/>
        <w:jc w:val="both"/>
        <w:rPr/>
      </w:pPr>
      <w:r>
        <w:rPr>
          <w:rFonts w:ascii="Times New Roman" w:hAnsi="Times New Roman"/>
        </w:rPr>
        <w:t xml:space="preserve">In conclusion, this small public benchmark supports an evidence hierarchy rather than a definitive general performance claim. Known QAC determinants provided the strongest validated signal for the available </w:t>
      </w:r>
      <w:r>
        <w:rPr>
          <w:rFonts w:ascii="Times New Roman" w:hAnsi="Times New Roman"/>
          <w:i/>
        </w:rPr>
        <w:t>Listeria</w:t>
      </w:r>
      <w:r>
        <w:rPr>
          <w:rFonts w:ascii="Times New Roman" w:hAnsi="Times New Roman"/>
        </w:rPr>
        <w:t xml:space="preserve"> benzalkonium chloride labels, whereas frozen DNABERT2 representations were more appropriately treated as secondary evidence. The result requires confirmation in larger, independent phenotype-linked cohorts. When such labels are unavailable, language models and curated databases may prioritize hypotheses, but must not be presented as validated tolerance predictors. The central contribution is a reproducible leakage-aware comparison and a clear boundary between sequence-fragment classification, phenotype prediction, and exploratory bioinformatic prioritization.</w:t>
      </w:r>
    </w:p>
    <w:p>
      <w:pPr>
        <w:pStyle w:val="Heading1"/>
        <w:jc w:val="both"/>
        <w:rPr>
          <w:rFonts w:ascii="Times New Roman" w:hAnsi="Times New Roman"/>
          <w:sz w:val="24"/>
        </w:rPr>
      </w:pPr>
      <w:r>
        <w:rPr>
          <w:rFonts w:ascii="Times New Roman" w:hAnsi="Times New Roman"/>
          <w:sz w:val="24"/>
        </w:rPr>
      </w:r>
      <w:r>
        <w:rPr>
          <w:rFonts w:ascii="Times New Roman" w:hAnsi="Times New Roman"/>
        </w:rPr>
        <w:br w:type="page"/>
      </w:r>
    </w:p>
    <w:p>
      <w:pPr>
        <w:pStyle w:val="Heading1"/>
        <w:jc w:val="both"/>
        <w:rPr>
          <w:rFonts w:ascii="Times New Roman" w:hAnsi="Times New Roman"/>
          <w:sz w:val="24"/>
        </w:rPr>
      </w:pPr>
      <w:r>
        <w:rPr>
          <w:rFonts w:ascii="Times New Roman" w:hAnsi="Times New Roman"/>
        </w:rPr>
        <w:t>Data availability</w:t>
      </w:r>
    </w:p>
    <w:p>
      <w:pPr>
        <w:pStyle w:val="Normal"/>
        <w:jc w:val="both"/>
        <w:rPr/>
      </w:pPr>
      <w:r>
        <w:rPr>
          <w:rFonts w:ascii="Times New Roman" w:hAnsi="Times New Roman"/>
        </w:rPr>
        <w:t xml:space="preserve">The study uses public data and derived project outputs. Public </w:t>
      </w:r>
      <w:r>
        <w:rPr>
          <w:rFonts w:ascii="Times New Roman" w:hAnsi="Times New Roman"/>
          <w:i/>
        </w:rPr>
        <w:t>Listeria monocytogenes</w:t>
      </w:r>
      <w:r>
        <w:rPr>
          <w:rFonts w:ascii="Times New Roman" w:hAnsi="Times New Roman"/>
        </w:rPr>
        <w:t xml:space="preserve"> phenotype and accession data were derived from the supplementary material of Gmeiner et al. (2025). Public database resources included MEGARes 3.0, AMRFinderPlus, BacMet, NCBI, ENA, and RefSeq. Derived manifests, reports, notebooks, and scripts are organized in the project repository and should be deposited in a public repository before submission. Accession numbers and data citations should be retained in the deposited manifest files.</w:t>
      </w:r>
    </w:p>
    <w:p>
      <w:pPr>
        <w:pStyle w:val="Heading1"/>
        <w:jc w:val="both"/>
        <w:rPr/>
      </w:pPr>
      <w:r>
        <w:rPr>
          <w:rFonts w:ascii="Times New Roman" w:hAnsi="Times New Roman"/>
        </w:rPr>
        <w:t>Code availability</w:t>
      </w:r>
    </w:p>
    <w:p>
      <w:pPr>
        <w:pStyle w:val="Normal"/>
        <w:jc w:val="both"/>
        <w:rPr/>
      </w:pPr>
      <w:r>
        <w:rPr>
          <w:rFonts w:ascii="Times New Roman" w:hAnsi="Times New Roman"/>
        </w:rPr>
        <w:t>The analysis workflow is implemented as notebooks and Python scripts in the project repository. The final model decision was generated from the project reports using the final publication decision script. The manuscript package was generated from the same reported outputs.</w:t>
      </w:r>
    </w:p>
    <w:p>
      <w:pPr>
        <w:pStyle w:val="Heading1"/>
        <w:jc w:val="both"/>
        <w:rPr/>
      </w:pPr>
      <w:r>
        <w:rPr>
          <w:rFonts w:ascii="Times New Roman" w:hAnsi="Times New Roman"/>
        </w:rPr>
        <w:t>Funding</w:t>
      </w:r>
    </w:p>
    <w:p>
      <w:pPr>
        <w:pStyle w:val="Normal"/>
        <w:jc w:val="both"/>
        <w:rPr/>
      </w:pPr>
      <w:r>
        <w:rPr>
          <w:rFonts w:ascii="Times New Roman" w:hAnsi="Times New Roman"/>
        </w:rPr>
        <w:t>This work received no specific grant from any funding agency in the public, commercial, or not-for-profit sectors.</w:t>
      </w:r>
    </w:p>
    <w:p>
      <w:pPr>
        <w:pStyle w:val="Heading1"/>
        <w:jc w:val="both"/>
        <w:rPr/>
      </w:pPr>
      <w:r>
        <w:rPr>
          <w:rFonts w:ascii="Times New Roman" w:hAnsi="Times New Roman"/>
        </w:rPr>
        <w:t>Conflicts of interest</w:t>
      </w:r>
    </w:p>
    <w:p>
      <w:pPr>
        <w:pStyle w:val="Normal"/>
        <w:jc w:val="both"/>
        <w:rPr/>
      </w:pPr>
      <w:r>
        <w:rPr>
          <w:rFonts w:ascii="Times New Roman" w:hAnsi="Times New Roman"/>
        </w:rPr>
        <w:t>The author declares no conflicts of interest.</w:t>
      </w:r>
    </w:p>
    <w:p>
      <w:pPr>
        <w:pStyle w:val="Heading1"/>
        <w:jc w:val="both"/>
        <w:rPr/>
      </w:pPr>
      <w:r>
        <w:rPr>
          <w:rFonts w:ascii="Times New Roman" w:hAnsi="Times New Roman"/>
        </w:rPr>
        <w:t>Acknowledgements</w:t>
      </w:r>
    </w:p>
    <w:p>
      <w:pPr>
        <w:pStyle w:val="Normal"/>
        <w:jc w:val="both"/>
        <w:rPr/>
      </w:pPr>
      <w:r>
        <w:rPr>
          <w:rFonts w:ascii="Times New Roman" w:hAnsi="Times New Roman"/>
        </w:rPr>
        <w:t>The author acknowledges the investigators who generated and released the public sequencing, phenotype, and curated-reference resources used in this computational study.</w:t>
      </w:r>
    </w:p>
    <w:p>
      <w:pPr>
        <w:pStyle w:val="Heading1"/>
        <w:jc w:val="both"/>
        <w:rPr/>
      </w:pPr>
      <w:r>
        <w:rPr>
          <w:rFonts w:ascii="Times New Roman" w:hAnsi="Times New Roman"/>
        </w:rPr>
        <w:t>References</w:t>
      </w:r>
    </w:p>
    <w:p>
      <w:pPr>
        <w:pStyle w:val="Normal"/>
        <w:spacing w:after="120"/>
        <w:jc w:val="both"/>
        <w:rPr/>
      </w:pPr>
      <w:r>
        <w:rPr>
          <w:rFonts w:ascii="Times New Roman" w:hAnsi="Times New Roman"/>
        </w:rPr>
        <w:t xml:space="preserve">Ahn Y, Kim JM, Kweon O et al. </w:t>
      </w:r>
      <w:r>
        <w:rPr>
          <w:rFonts w:ascii="Times New Roman" w:hAnsi="Times New Roman"/>
        </w:rPr>
        <w:t xml:space="preserve">Intrinsic resistance of </w:t>
      </w:r>
      <w:r>
        <w:rPr>
          <w:rFonts w:ascii="Times New Roman" w:hAnsi="Times New Roman"/>
          <w:i/>
        </w:rPr>
        <w:t>Burkholderia cepacia complex</w:t>
      </w:r>
      <w:r>
        <w:rPr>
          <w:rFonts w:ascii="Times New Roman" w:hAnsi="Times New Roman"/>
        </w:rPr>
        <w:t xml:space="preserve"> to benzalkonium chloride. </w:t>
      </w:r>
      <w:r>
        <w:rPr>
          <w:rFonts w:ascii="Times New Roman" w:hAnsi="Times New Roman"/>
          <w:i/>
        </w:rPr>
        <w:t>mBio</w:t>
      </w:r>
      <w:r>
        <w:rPr>
          <w:rFonts w:ascii="Times New Roman" w:hAnsi="Times New Roman"/>
        </w:rPr>
        <w:t xml:space="preserve"> 2016;7:e01716-16.</w:t>
      </w:r>
      <w:r>
        <w:rPr>
          <w:rFonts w:ascii="Times New Roman" w:hAnsi="Times New Roman"/>
        </w:rPr>
        <w:t xml:space="preserve"> https://doi.org/10.1128/mBio.01716-16.</w:t>
      </w:r>
    </w:p>
    <w:p>
      <w:pPr>
        <w:pStyle w:val="Normal"/>
        <w:spacing w:after="120"/>
        <w:jc w:val="both"/>
        <w:rPr/>
      </w:pPr>
      <w:r>
        <w:rPr>
          <w:rFonts w:ascii="Times New Roman" w:hAnsi="Times New Roman"/>
        </w:rPr>
        <w:t xml:space="preserve">Bonin N, Doster E, Worley H et al. </w:t>
      </w:r>
      <w:r>
        <w:rPr>
          <w:rFonts w:ascii="Times New Roman" w:hAnsi="Times New Roman"/>
        </w:rPr>
        <w:t xml:space="preserve">MEGARes and AMR++, v3.0: an updated comprehensive database of antimicrobial resistance determinants and an improved software pipeline for classification using high-throughput sequencing. </w:t>
      </w:r>
      <w:r>
        <w:rPr>
          <w:rFonts w:ascii="Times New Roman" w:hAnsi="Times New Roman"/>
          <w:i/>
        </w:rPr>
        <w:t>Nucleic Acids Res</w:t>
      </w:r>
      <w:r>
        <w:rPr>
          <w:rFonts w:ascii="Times New Roman" w:hAnsi="Times New Roman"/>
        </w:rPr>
        <w:t xml:space="preserve"> 2023;51:D744–52.</w:t>
      </w:r>
      <w:r>
        <w:rPr>
          <w:rFonts w:ascii="Times New Roman" w:hAnsi="Times New Roman"/>
        </w:rPr>
        <w:t xml:space="preserve"> https://doi.org/10.1093/nar/gkac1047.</w:t>
      </w:r>
    </w:p>
    <w:p>
      <w:pPr>
        <w:pStyle w:val="Normal"/>
        <w:spacing w:after="120"/>
        <w:jc w:val="both"/>
        <w:rPr/>
      </w:pPr>
      <w:r>
        <w:rPr>
          <w:rFonts w:ascii="Times New Roman" w:hAnsi="Times New Roman"/>
        </w:rPr>
        <w:t xml:space="preserve">Chittrakanwong J, Charoenlap N, Mongkolsuk S et al. </w:t>
      </w:r>
      <w:r>
        <w:rPr>
          <w:rFonts w:ascii="Times New Roman" w:hAnsi="Times New Roman"/>
          <w:i/>
        </w:rPr>
        <w:t>mfsQ</w:t>
      </w:r>
      <w:r>
        <w:rPr>
          <w:rFonts w:ascii="Times New Roman" w:hAnsi="Times New Roman"/>
        </w:rPr>
        <w:t xml:space="preserve"> encoding an MFS efflux pump mediates adaptive protection of </w:t>
      </w:r>
      <w:r>
        <w:rPr>
          <w:rFonts w:ascii="Times New Roman" w:hAnsi="Times New Roman"/>
          <w:i/>
        </w:rPr>
        <w:t>Stenotrophomonas maltophilia</w:t>
      </w:r>
      <w:r>
        <w:rPr>
          <w:rFonts w:ascii="Times New Roman" w:hAnsi="Times New Roman"/>
        </w:rPr>
        <w:t xml:space="preserve"> against benzalkonium chloride. </w:t>
      </w:r>
      <w:r>
        <w:rPr>
          <w:rFonts w:ascii="Times New Roman" w:hAnsi="Times New Roman"/>
          <w:i/>
        </w:rPr>
        <w:t>Can J Microbiol</w:t>
      </w:r>
      <w:r>
        <w:rPr>
          <w:rFonts w:ascii="Times New Roman" w:hAnsi="Times New Roman"/>
        </w:rPr>
        <w:t xml:space="preserve"> 2021;67:491–5.</w:t>
      </w:r>
      <w:r>
        <w:rPr>
          <w:rFonts w:ascii="Times New Roman" w:hAnsi="Times New Roman"/>
        </w:rPr>
        <w:t xml:space="preserve"> https://doi.org/10.1139/cjm-2020-0341.</w:t>
      </w:r>
    </w:p>
    <w:p>
      <w:pPr>
        <w:pStyle w:val="Normal"/>
        <w:spacing w:after="120"/>
        <w:jc w:val="both"/>
        <w:rPr/>
      </w:pPr>
      <w:r>
        <w:rPr>
          <w:rFonts w:ascii="Times New Roman" w:hAnsi="Times New Roman"/>
        </w:rPr>
        <w:t xml:space="preserve">Feldgarden M, Brover V, Gonzalez-Escalona N et al. </w:t>
      </w:r>
      <w:r>
        <w:rPr>
          <w:rFonts w:ascii="Times New Roman" w:hAnsi="Times New Roman"/>
        </w:rPr>
        <w:t xml:space="preserve">AMRFinderPlus and the Reference Gene Catalog facilitate examination of the genomic links among antimicrobial resistance, stress response, and virulence. </w:t>
      </w:r>
      <w:r>
        <w:rPr>
          <w:rFonts w:ascii="Times New Roman" w:hAnsi="Times New Roman"/>
          <w:i/>
        </w:rPr>
        <w:t>Sci Rep</w:t>
      </w:r>
      <w:r>
        <w:rPr>
          <w:rFonts w:ascii="Times New Roman" w:hAnsi="Times New Roman"/>
        </w:rPr>
        <w:t xml:space="preserve"> 2021;11:12728.</w:t>
      </w:r>
      <w:r>
        <w:rPr>
          <w:rFonts w:ascii="Times New Roman" w:hAnsi="Times New Roman"/>
        </w:rPr>
        <w:t xml:space="preserve"> https://doi.org/10.1038/s41598-021-91456-0.</w:t>
      </w:r>
    </w:p>
    <w:p>
      <w:pPr>
        <w:pStyle w:val="Normal"/>
        <w:spacing w:after="120"/>
        <w:jc w:val="both"/>
        <w:rPr/>
      </w:pPr>
      <w:r>
        <w:rPr>
          <w:rFonts w:ascii="Times New Roman" w:hAnsi="Times New Roman"/>
        </w:rPr>
        <w:t xml:space="preserve">Gmeiner A, Sakaridis I, Fagerlund A et al. </w:t>
      </w:r>
      <w:r>
        <w:rPr>
          <w:rFonts w:ascii="Times New Roman" w:hAnsi="Times New Roman"/>
        </w:rPr>
        <w:t xml:space="preserve">Quantitative prediction of disinfectant tolerance in </w:t>
      </w:r>
      <w:r>
        <w:rPr>
          <w:rFonts w:ascii="Times New Roman" w:hAnsi="Times New Roman"/>
          <w:i/>
        </w:rPr>
        <w:t>Listeria</w:t>
      </w:r>
      <w:r>
        <w:rPr>
          <w:rFonts w:ascii="Times New Roman" w:hAnsi="Times New Roman"/>
          <w:i/>
        </w:rPr>
        <w:t xml:space="preserve"> monocytogenes</w:t>
      </w:r>
      <w:r>
        <w:rPr>
          <w:rFonts w:ascii="Times New Roman" w:hAnsi="Times New Roman"/>
        </w:rPr>
        <w:t xml:space="preserve"> using whole genome sequencing and machine learning. </w:t>
      </w:r>
      <w:r>
        <w:rPr>
          <w:rFonts w:ascii="Times New Roman" w:hAnsi="Times New Roman"/>
          <w:i/>
        </w:rPr>
        <w:t>Sci Rep</w:t>
      </w:r>
      <w:r>
        <w:rPr>
          <w:rFonts w:ascii="Times New Roman" w:hAnsi="Times New Roman"/>
        </w:rPr>
        <w:t xml:space="preserve"> 2025;15:10382.</w:t>
      </w:r>
      <w:r>
        <w:rPr>
          <w:rFonts w:ascii="Times New Roman" w:hAnsi="Times New Roman"/>
        </w:rPr>
        <w:t xml:space="preserve"> https://doi.org/10.1038/s41598-025-94321-6.</w:t>
      </w:r>
    </w:p>
    <w:p>
      <w:pPr>
        <w:pStyle w:val="Normal"/>
        <w:spacing w:after="120"/>
        <w:jc w:val="both"/>
        <w:rPr/>
      </w:pPr>
      <w:r>
        <w:rPr>
          <w:rFonts w:ascii="Times New Roman" w:hAnsi="Times New Roman"/>
        </w:rPr>
        <w:t xml:space="preserve">Kim JM, Ahn Y, LiPuma JJ et al. </w:t>
      </w:r>
      <w:r>
        <w:rPr>
          <w:rFonts w:ascii="Times New Roman" w:hAnsi="Times New Roman"/>
        </w:rPr>
        <w:t xml:space="preserve">Survival and susceptibility of </w:t>
      </w:r>
      <w:r>
        <w:rPr>
          <w:rFonts w:ascii="Times New Roman" w:hAnsi="Times New Roman"/>
          <w:i/>
        </w:rPr>
        <w:t>Burkholderia cepacia complex</w:t>
      </w:r>
      <w:r>
        <w:rPr>
          <w:rFonts w:ascii="Times New Roman" w:hAnsi="Times New Roman"/>
        </w:rPr>
        <w:t xml:space="preserve"> in chlorhexidine gluconate and benzalkonium chloride. </w:t>
      </w:r>
      <w:r>
        <w:rPr>
          <w:rFonts w:ascii="Times New Roman" w:hAnsi="Times New Roman"/>
          <w:i/>
        </w:rPr>
        <w:t>J Ind Microbiol Biotechnol</w:t>
      </w:r>
      <w:r>
        <w:rPr>
          <w:rFonts w:ascii="Times New Roman" w:hAnsi="Times New Roman"/>
        </w:rPr>
        <w:t xml:space="preserve"> 2015;42:905–13.</w:t>
      </w:r>
      <w:r>
        <w:rPr>
          <w:rFonts w:ascii="Times New Roman" w:hAnsi="Times New Roman"/>
        </w:rPr>
        <w:t xml:space="preserve"> https://doi.org/10.1007/s10295-015-1605-x.</w:t>
      </w:r>
    </w:p>
    <w:p>
      <w:pPr>
        <w:pStyle w:val="Normal"/>
        <w:spacing w:after="120"/>
        <w:jc w:val="both"/>
        <w:rPr/>
      </w:pPr>
      <w:r>
        <w:rPr>
          <w:rFonts w:ascii="Times New Roman" w:hAnsi="Times New Roman"/>
        </w:rPr>
        <w:t xml:space="preserve">Pal C, Bengtsson-Palme J, Rensing CG et al. </w:t>
      </w:r>
      <w:r>
        <w:rPr>
          <w:rFonts w:ascii="Times New Roman" w:hAnsi="Times New Roman"/>
        </w:rPr>
        <w:t xml:space="preserve">BacMet: antibacterial biocide and metal resistance genes database. </w:t>
      </w:r>
      <w:r>
        <w:rPr>
          <w:rFonts w:ascii="Times New Roman" w:hAnsi="Times New Roman"/>
          <w:i/>
        </w:rPr>
        <w:t>Nucleic Acids Res</w:t>
      </w:r>
      <w:r>
        <w:rPr>
          <w:rFonts w:ascii="Times New Roman" w:hAnsi="Times New Roman"/>
        </w:rPr>
        <w:t xml:space="preserve"> 2014;42:D737–43.</w:t>
      </w:r>
      <w:r>
        <w:rPr>
          <w:rFonts w:ascii="Times New Roman" w:hAnsi="Times New Roman"/>
        </w:rPr>
        <w:t xml:space="preserve"> https://doi.org/10.1093/nar/gkt1252.</w:t>
      </w:r>
    </w:p>
    <w:p>
      <w:pPr>
        <w:pStyle w:val="Normal"/>
        <w:spacing w:after="120"/>
        <w:jc w:val="both"/>
        <w:rPr/>
      </w:pPr>
      <w:r>
        <w:rPr>
          <w:rFonts w:ascii="Times New Roman" w:hAnsi="Times New Roman"/>
        </w:rPr>
        <w:t xml:space="preserve">Pottier M, Gravey F, Castagnet S et al. </w:t>
      </w:r>
      <w:r>
        <w:rPr>
          <w:rFonts w:ascii="Times New Roman" w:hAnsi="Times New Roman"/>
        </w:rPr>
        <w:t xml:space="preserve">A 10-year microbiological study of </w:t>
      </w:r>
      <w:r>
        <w:rPr>
          <w:rFonts w:ascii="Times New Roman" w:hAnsi="Times New Roman"/>
          <w:i/>
        </w:rPr>
        <w:t>Pseudomonas aeruginosa</w:t>
      </w:r>
      <w:r>
        <w:rPr>
          <w:rFonts w:ascii="Times New Roman" w:hAnsi="Times New Roman"/>
        </w:rPr>
        <w:t xml:space="preserve"> strains revealed the circulation of populations resistant to both carbapenems and quaternary ammonium compounds. </w:t>
      </w:r>
      <w:r>
        <w:rPr>
          <w:rFonts w:ascii="Times New Roman" w:hAnsi="Times New Roman"/>
          <w:i/>
        </w:rPr>
        <w:t>Sci Rep</w:t>
      </w:r>
      <w:r>
        <w:rPr>
          <w:rFonts w:ascii="Times New Roman" w:hAnsi="Times New Roman"/>
        </w:rPr>
        <w:t xml:space="preserve"> 2023;13:2639.</w:t>
      </w:r>
      <w:r>
        <w:rPr>
          <w:rFonts w:ascii="Times New Roman" w:hAnsi="Times New Roman"/>
        </w:rPr>
        <w:t xml:space="preserve"> https://doi.org/10.1038/s41598-023-29590-0.</w:t>
      </w:r>
    </w:p>
    <w:p>
      <w:pPr>
        <w:pStyle w:val="Normal"/>
        <w:spacing w:before="0" w:after="120"/>
        <w:jc w:val="both"/>
        <w:rPr/>
      </w:pPr>
      <w:r>
        <w:rPr>
          <w:rFonts w:ascii="Times New Roman" w:hAnsi="Times New Roman"/>
        </w:rPr>
        <w:t xml:space="preserve">Rose H, Baldwin A, Dowson CG et al. </w:t>
      </w:r>
      <w:r>
        <w:rPr>
          <w:rFonts w:ascii="Times New Roman" w:hAnsi="Times New Roman"/>
        </w:rPr>
        <w:t xml:space="preserve">Biocide susceptibility of the </w:t>
      </w:r>
      <w:r>
        <w:rPr>
          <w:rFonts w:ascii="Times New Roman" w:hAnsi="Times New Roman"/>
          <w:i/>
        </w:rPr>
        <w:t>Burkholderia cepacia complex</w:t>
      </w:r>
      <w:r>
        <w:rPr>
          <w:rFonts w:ascii="Times New Roman" w:hAnsi="Times New Roman"/>
        </w:rPr>
        <w:t xml:space="preserve">. </w:t>
      </w:r>
      <w:r>
        <w:rPr>
          <w:rFonts w:ascii="Times New Roman" w:hAnsi="Times New Roman"/>
          <w:i/>
        </w:rPr>
        <w:t>J Antimicrob Chemother</w:t>
      </w:r>
      <w:r>
        <w:rPr>
          <w:rFonts w:ascii="Times New Roman" w:hAnsi="Times New Roman"/>
        </w:rPr>
        <w:t xml:space="preserve"> 2009;63:502–10.</w:t>
      </w:r>
      <w:r>
        <w:rPr>
          <w:rFonts w:ascii="Times New Roman" w:hAnsi="Times New Roman"/>
        </w:rPr>
        <w:t xml:space="preserve"> https://doi.org/10.1093/jac/dkn540.</w:t>
      </w:r>
    </w:p>
    <w:p>
      <w:pPr>
        <w:spacing w:after="120"/>
      </w:pPr>
      <w:r>
        <w:rPr>
          <w:rFonts w:ascii="Times New Roman" w:hAnsi="Times New Roman"/>
        </w:rPr>
        <w:t xml:space="preserve">Rushton L, Sass A, Baldwin A et al. </w:t>
      </w:r>
      <w:r>
        <w:rPr>
          <w:rFonts w:ascii="Times New Roman" w:hAnsi="Times New Roman"/>
        </w:rPr>
        <w:t xml:space="preserve">Key role for efflux in the preservative susceptibility and adaptive resistance of </w:t>
      </w:r>
      <w:r>
        <w:rPr>
          <w:rFonts w:ascii="Times New Roman" w:hAnsi="Times New Roman"/>
          <w:i/>
        </w:rPr>
        <w:t>Burkholderia cepacia complex</w:t>
      </w:r>
      <w:r>
        <w:rPr>
          <w:rFonts w:ascii="Times New Roman" w:hAnsi="Times New Roman"/>
        </w:rPr>
        <w:t xml:space="preserve"> bacteria. </w:t>
      </w:r>
      <w:r>
        <w:rPr>
          <w:rFonts w:ascii="Times New Roman" w:hAnsi="Times New Roman"/>
          <w:i/>
        </w:rPr>
        <w:t>Antimicrob Agents Chemother</w:t>
      </w:r>
      <w:r>
        <w:rPr>
          <w:rFonts w:ascii="Times New Roman" w:hAnsi="Times New Roman"/>
        </w:rPr>
        <w:t xml:space="preserve"> 2013;57:2972–80.</w:t>
      </w:r>
      <w:r>
        <w:rPr>
          <w:rFonts w:ascii="Times New Roman" w:hAnsi="Times New Roman"/>
        </w:rPr>
        <w:t xml:space="preserve"> https://doi.org/10.1128/AAC.00140-13.</w:t>
      </w:r>
    </w:p>
    <w:p>
      <w:pPr>
        <w:spacing w:after="120"/>
      </w:pPr>
      <w:r>
        <w:rPr>
          <w:rFonts w:ascii="Times New Roman" w:hAnsi="Times New Roman"/>
        </w:rPr>
        <w:t xml:space="preserve">Tavares M, Kozak M, Balola A et al. </w:t>
      </w:r>
      <w:r>
        <w:rPr>
          <w:rFonts w:ascii="Times New Roman" w:hAnsi="Times New Roman"/>
          <w:i/>
        </w:rPr>
        <w:t>Burkholderia cepacia complex</w:t>
      </w:r>
      <w:r>
        <w:rPr>
          <w:rFonts w:ascii="Times New Roman" w:hAnsi="Times New Roman"/>
        </w:rPr>
        <w:t xml:space="preserve"> bacteria: a feared contamination risk in water-based pharmaceutical products. </w:t>
      </w:r>
      <w:r>
        <w:rPr>
          <w:rFonts w:ascii="Times New Roman" w:hAnsi="Times New Roman"/>
          <w:i/>
        </w:rPr>
        <w:t>Clin Microbiol Rev</w:t>
      </w:r>
      <w:r>
        <w:rPr>
          <w:rFonts w:ascii="Times New Roman" w:hAnsi="Times New Roman"/>
        </w:rPr>
        <w:t xml:space="preserve"> 2020;33:e00139-19.</w:t>
      </w:r>
      <w:r>
        <w:rPr>
          <w:rFonts w:ascii="Times New Roman" w:hAnsi="Times New Roman"/>
        </w:rPr>
        <w:t xml:space="preserve"> https://doi.org/10.1128/CMR.00139-19.</w:t>
      </w:r>
    </w:p>
    <w:p>
      <w:pPr>
        <w:spacing w:after="120"/>
      </w:pPr>
      <w:r>
        <w:rPr>
          <w:rFonts w:ascii="Times New Roman" w:hAnsi="Times New Roman"/>
        </w:rPr>
        <w:t xml:space="preserve">Yoo H, Shin H, Rosen G. Can large language models classify and generate antimicrobial resistance genes? In: </w:t>
      </w:r>
      <w:r>
        <w:rPr>
          <w:rFonts w:ascii="Times New Roman" w:hAnsi="Times New Roman"/>
          <w:i/>
        </w:rPr>
        <w:t>Proceedings of the 24th Workshop on Biomedical Language Processing</w:t>
      </w:r>
      <w:r>
        <w:rPr>
          <w:rFonts w:ascii="Times New Roman" w:hAnsi="Times New Roman"/>
        </w:rPr>
        <w:t>. Vienna: Association for Computational Linguistics, 2025, 240–8. https://doi.org/10.18653/v1/2025.bionlp-1.21.</w:t>
      </w:r>
    </w:p>
    <w:p>
      <w:pPr>
        <w:spacing w:after="120"/>
      </w:pPr>
      <w:r>
        <w:rPr>
          <w:rFonts w:ascii="Times New Roman" w:hAnsi="Times New Roman"/>
        </w:rPr>
        <w:t xml:space="preserve">Zhou Z, Ji Y, Li W et al. </w:t>
      </w:r>
      <w:r>
        <w:rPr>
          <w:rFonts w:ascii="Times New Roman" w:hAnsi="Times New Roman"/>
        </w:rPr>
        <w:t xml:space="preserve">DNABERT-2: efficient foundation model and benchmark for multi-species genome. </w:t>
      </w:r>
      <w:r>
        <w:rPr>
          <w:rFonts w:ascii="Times New Roman" w:hAnsi="Times New Roman"/>
          <w:i/>
        </w:rPr>
        <w:t>arXiv</w:t>
      </w:r>
      <w:r>
        <w:rPr>
          <w:rFonts w:ascii="Times New Roman" w:hAnsi="Times New Roman"/>
        </w:rPr>
        <w:t xml:space="preserve"> 2024:2306.15006.</w:t>
      </w:r>
      <w:r>
        <w:rPr>
          <w:rFonts w:ascii="Times New Roman" w:hAnsi="Times New Roman"/>
        </w:rPr>
        <w:t xml:space="preserve"> https://doi.org/10.48550/arXiv.2306.15006.</w:t>
      </w:r>
    </w:p>
    <w:sectPr>
      <w:footerReference w:type="even" r:id="rId2"/>
      <w:footerReference w:type="default" r:id="rId3"/>
      <w:footerReference w:type="first" r:id="rId4"/>
      <w:type w:val="nextPage"/>
      <w:pgSz w:w="12240" w:h="15840"/>
      <w:pgMar w:left="1440" w:right="1440" w:gutter="0" w:header="0" w:top="1440" w:footer="72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rPr>
      <w:fldChar w:fldCharType="begin"/>
    </w:r>
    <w:r>
      <w:rPr>
        <w:sz w:val="24"/>
      </w:rPr>
      <w:instrText xml:space="preserve"> PAGE </w:instrText>
    </w:r>
    <w:r>
      <w:rPr>
        <w:sz w:val="24"/>
      </w:rPr>
      <w:fldChar w:fldCharType="separate"/>
    </w:r>
    <w:r>
      <w:rPr>
        <w:sz w:val="24"/>
      </w:rPr>
      <w:t>18</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rPr>
      <w:fldChar w:fldCharType="begin"/>
    </w:r>
    <w:r>
      <w:rPr>
        <w:sz w:val="24"/>
      </w:rPr>
      <w:instrText xml:space="preserve"> PAGE </w:instrText>
    </w:r>
    <w:r>
      <w:rPr>
        <w:sz w:val="24"/>
      </w:rPr>
      <w:fldChar w:fldCharType="separate"/>
    </w:r>
    <w:r>
      <w:rPr>
        <w:sz w:val="24"/>
      </w:rPr>
      <w:t>18</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120"/>
      <w:jc w:val="start"/>
    </w:pPr>
    <w:rPr>
      <w:rFonts w:ascii="Times New Roman" w:hAnsi="Times New Roman" w:eastAsia="ＭＳ 明朝" w:cs="" w:asciiTheme="minorHAnsi" w:cstheme="minorBidi" w:eastAsiaTheme="minorEastAsia"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240" w:after="120"/>
      <w:outlineLvl w:val="0"/>
    </w:pPr>
    <w:rPr>
      <w:rFonts w:ascii="Times New Roman" w:hAnsi="Times New Roman"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240" w:after="120"/>
      <w:outlineLvl w:val="1"/>
    </w:pPr>
    <w:rPr>
      <w:rFonts w:ascii="Times New Roman" w:hAnsi="Times New Roman"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240" w:after="120"/>
      <w:outlineLvl w:val="2"/>
    </w:pPr>
    <w:rPr>
      <w:rFonts w:ascii="Times New Roman" w:hAnsi="Times New Roman"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Times New Roman" w:hAnsi="Times New Roman"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Times New Roman" w:hAnsi="Times New Roman"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Times New Roman" w:hAnsi="Times New Roman"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Times New Roman" w:hAnsi="Times New Roman"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Times New Roman" w:hAnsi="Times New Roman"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Times New Roman" w:hAnsi="Times New Roman"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Times New Roman" w:hAnsi="Times New Roman"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Times New Roman" w:hAnsi="Times New Roman"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Times New Roman" w:hAnsi="Times New Roman"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Times New Roman" w:hAnsi="Times New Roman"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Times New Roman" w:hAnsi="Times New Roman"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Times New Roman" w:hAnsi="Times New Roman"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LibreOffice/26.2.1.2$MacOSX_AARCH64 LibreOffice_project/8399f6259d8c87f40e7255cdb3c9b958f5e08948</Application>
  <AppVersion>15.0000</AppVersion>
  <Pages>18</Pages>
  <Words>4200</Words>
  <Characters>26232</Characters>
  <CharactersWithSpaces>30358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Carlos Victor Montefusco-Pereira</dc:creator>
  <dc:description>generated by python-docx</dc:description>
  <dc:language>en-US</dc:language>
  <cp:lastModifiedBy/>
  <dcterms:modified xsi:type="dcterms:W3CDTF">2026-06-04T20:41:35Z</dcterms:modified>
  <cp:revision>2</cp:revision>
  <dc:subject>First Look corrections: title page and journal-style references</dc:subject>
  <dc:title>FEMSLE-26-06-0203.R1 First Look corrected manuscript</dc:title>
</cp:coreProperties>
</file>