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prespecified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initial three-seed missingness audit; the five-seed performance benchmark is reported separately in the frozen result tables.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