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start"/>
        <w:rPr>
          <w:rFonts w:ascii="Arial" w:hAnsi="Arial"/>
          <w:sz w:val="24"/>
          <w:szCs w:val="24"/>
        </w:rPr>
      </w:pPr>
      <w:r>
        <w:rPr>
          <w:rFonts w:ascii="Arial" w:hAnsi="Arial"/>
          <w:b/>
          <w:color w:val="000000"/>
          <w:sz w:val="24"/>
          <w:szCs w:val="24"/>
        </w:rPr>
        <w:t>Supplementary material</w:t>
        <w:br/>
        <w:t>When More Omics Is Not Always Better</w:t>
      </w:r>
    </w:p>
    <w:p>
      <w:pPr>
        <w:pStyle w:val="Normal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Carlos Victor Montefusco-Pereira</w:t>
      </w:r>
    </w:p>
    <w:p>
      <w:pPr>
        <w:pStyle w:val="Heading1"/>
        <w:keepNext w:val="true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S1. Reproducibility protocol</w:t>
      </w:r>
    </w:p>
    <w:p>
      <w:pPr>
        <w:pStyle w:val="Normal"/>
        <w:spacing w:lineRule="auto" w:line="252" w:before="0" w:after="120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All formal results use the declared 15-compound universe: five GDSC1 compounds, five GDSC2 compounds, and five CTD² compounds. Molecular features are expression, copy number, and damaging mutations. For each training fold, the top 2,000 features per modality are selected by training-set variance only. The model pipeline is median imputation, standardization, and Ridge regression with alpha = 1.0. Fusion concatenates the three selected modality blocks (6,000 features).</w:t>
      </w:r>
    </w:p>
    <w:p>
      <w:pPr>
        <w:pStyle w:val="Normal"/>
        <w:spacing w:lineRule="auto" w:line="252" w:before="0" w:after="120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Supplementary Table S1. Declared compound universe and source-specific response rows.</w:t>
      </w:r>
    </w:p>
    <w:tbl>
      <w:tblPr>
        <w:tblStyle w:val="TableGrid"/>
        <w:tblW w:w="1022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2556"/>
        <w:gridCol w:w="2556"/>
        <w:gridCol w:w="2556"/>
        <w:gridCol w:w="2556"/>
      </w:tblGrid>
      <w:tr>
        <w:trPr/>
        <w:tc>
          <w:tcPr>
            <w:tcW w:w="2556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Dataset</w:t>
            </w:r>
          </w:p>
        </w:tc>
        <w:tc>
          <w:tcPr>
            <w:tcW w:w="2556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Compound identifier</w:t>
            </w:r>
          </w:p>
        </w:tc>
        <w:tc>
          <w:tcPr>
            <w:tcW w:w="2556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Response rows</w:t>
            </w:r>
          </w:p>
        </w:tc>
        <w:tc>
          <w:tcPr>
            <w:tcW w:w="2556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Cell lines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GDSC1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AICA RIBONUCLEOTIDE (GDSC1:1001)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912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912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GDSC1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GSK1059615 (GDSC1:374)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898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898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GDSC1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TENOVIN-6 (GDSC1:342)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897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897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GDSC1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ACY-1215 (GDSC1:264)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898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898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GDSC1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DACOMITINIB (GDSC1:363)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898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898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GDSC2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MG-132 (GDSC2:1862)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947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947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GDSC2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MK-2206 (GDSC2:1053)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946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946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GDSC2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NAVITOCLAX (GDSC2:1011)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946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946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GDSC2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PICTILISIB (GDSC2:1058)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945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945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GDSC2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STAUROSPORINE (GDSC2:1034)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947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947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CTD²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AZD-8055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783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783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CTD²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LEPTOMYCIN B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790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790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CTD²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OUABAIN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782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782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CTD²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VINCRISTINE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786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786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CTD²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SR-II-138A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785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785</w:t>
            </w:r>
          </w:p>
        </w:tc>
      </w:tr>
    </w:tbl>
    <w:p>
      <w:pPr>
        <w:pStyle w:val="Normal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Normal"/>
        <w:spacing w:lineRule="auto" w:line="252" w:before="0" w:after="120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Drug-held-out splits use GroupShuffleSplit with drug_id_raw as the grouping variable, test fraction 0.2, and persisted seeds 20260821 through 20260825. Leave-one-dataset-out folds hold out CTD², GDSC1, or GDSC2 in turn. RMSE and MAE are calculated on held-out response rows. The full-universe benchmark records model metrics and feature manifests; strict all-selected-feature missingness counts are not used as a performance filter, and model fitting uses median imputation.</w:t>
      </w:r>
    </w:p>
    <w:p>
      <w:pPr>
        <w:pStyle w:val="Heading1"/>
        <w:keepNext w:val="true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S2. Drug-heldout split manifests</w:t>
      </w:r>
    </w:p>
    <w:tbl>
      <w:tblPr>
        <w:tblStyle w:val="TableGrid"/>
        <w:tblW w:w="1022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2556"/>
        <w:gridCol w:w="2556"/>
        <w:gridCol w:w="2556"/>
        <w:gridCol w:w="2556"/>
      </w:tblGrid>
      <w:tr>
        <w:trPr/>
        <w:tc>
          <w:tcPr>
            <w:tcW w:w="2556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Seed</w:t>
            </w:r>
          </w:p>
        </w:tc>
        <w:tc>
          <w:tcPr>
            <w:tcW w:w="2556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Train drugs</w:t>
            </w:r>
          </w:p>
        </w:tc>
        <w:tc>
          <w:tcPr>
            <w:tcW w:w="2556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Test drugs</w:t>
            </w:r>
          </w:p>
        </w:tc>
        <w:tc>
          <w:tcPr>
            <w:tcW w:w="2556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Manifest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20260821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12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drug_split_20260821.json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20260822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12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drug_split_20260822.json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20260823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12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drug_split_20260823.json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20260824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12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full_universe_drug_split_20260824.json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20260825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12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full_universe_drug_split_20260825.json</w:t>
            </w:r>
          </w:p>
        </w:tc>
      </w:tr>
    </w:tbl>
    <w:p>
      <w:pPr>
        <w:pStyle w:val="Normal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Heading1"/>
        <w:keepNext w:val="true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S3. Drug-heldout results</w:t>
      </w:r>
    </w:p>
    <w:tbl>
      <w:tblPr>
        <w:tblStyle w:val="TableGrid"/>
        <w:tblW w:w="10227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461"/>
        <w:gridCol w:w="1460"/>
        <w:gridCol w:w="1462"/>
        <w:gridCol w:w="1460"/>
        <w:gridCol w:w="1462"/>
        <w:gridCol w:w="1460"/>
        <w:gridCol w:w="1462"/>
      </w:tblGrid>
      <w:tr>
        <w:trPr/>
        <w:tc>
          <w:tcPr>
            <w:tcW w:w="1461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Seed</w:t>
            </w:r>
          </w:p>
        </w:tc>
        <w:tc>
          <w:tcPr>
            <w:tcW w:w="1460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Model</w:t>
            </w:r>
          </w:p>
        </w:tc>
        <w:tc>
          <w:tcPr>
            <w:tcW w:w="1462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MAE</w:t>
            </w:r>
          </w:p>
        </w:tc>
        <w:tc>
          <w:tcPr>
            <w:tcW w:w="1460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RMSE</w:t>
            </w:r>
          </w:p>
        </w:tc>
        <w:tc>
          <w:tcPr>
            <w:tcW w:w="1462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Features</w:t>
            </w:r>
          </w:p>
        </w:tc>
        <w:tc>
          <w:tcPr>
            <w:tcW w:w="1460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Complete</w:t>
            </w:r>
          </w:p>
        </w:tc>
        <w:tc>
          <w:tcPr>
            <w:tcW w:w="1462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Missing</w:t>
            </w:r>
          </w:p>
        </w:tc>
      </w:tr>
      <w:tr>
        <w:trPr/>
        <w:tc>
          <w:tcPr>
            <w:tcW w:w="14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20260821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expression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0.1398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0.1696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2000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</w:tr>
      <w:tr>
        <w:trPr/>
        <w:tc>
          <w:tcPr>
            <w:tcW w:w="14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20260821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copy_number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0.1483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0.1786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2000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</w:tr>
      <w:tr>
        <w:trPr/>
        <w:tc>
          <w:tcPr>
            <w:tcW w:w="14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20260821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mutation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0.1374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0.1674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2000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</w:tr>
      <w:tr>
        <w:trPr/>
        <w:tc>
          <w:tcPr>
            <w:tcW w:w="14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20260821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fusion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0.1370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0.1672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6000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</w:tr>
      <w:tr>
        <w:trPr/>
        <w:tc>
          <w:tcPr>
            <w:tcW w:w="14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20260822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expression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0.2226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0.2538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2000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</w:tr>
      <w:tr>
        <w:trPr/>
        <w:tc>
          <w:tcPr>
            <w:tcW w:w="14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20260822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copy_number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0.2319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0.2620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2000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</w:tr>
      <w:tr>
        <w:trPr/>
        <w:tc>
          <w:tcPr>
            <w:tcW w:w="14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20260822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mutation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0.2208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0.2529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2000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</w:tr>
      <w:tr>
        <w:trPr/>
        <w:tc>
          <w:tcPr>
            <w:tcW w:w="14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20260822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fusion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0.2206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0.2527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6000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</w:tr>
      <w:tr>
        <w:trPr/>
        <w:tc>
          <w:tcPr>
            <w:tcW w:w="14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20260823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expression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0.1913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0.2329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2000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</w:tr>
      <w:tr>
        <w:trPr/>
        <w:tc>
          <w:tcPr>
            <w:tcW w:w="14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20260823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copy_number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0.1939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0.2332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2000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</w:tr>
      <w:tr>
        <w:trPr/>
        <w:tc>
          <w:tcPr>
            <w:tcW w:w="14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20260823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mutation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0.1904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0.2325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2000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</w:tr>
      <w:tr>
        <w:trPr/>
        <w:tc>
          <w:tcPr>
            <w:tcW w:w="14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20260823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fusion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0.1902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0.2326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6000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</w:tr>
      <w:tr>
        <w:trPr/>
        <w:tc>
          <w:tcPr>
            <w:tcW w:w="14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20260824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expression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0.1955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0.2299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2000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</w:tr>
      <w:tr>
        <w:trPr/>
        <w:tc>
          <w:tcPr>
            <w:tcW w:w="14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20260824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copy_number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0.1991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0.2313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2000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</w:tr>
      <w:tr>
        <w:trPr/>
        <w:tc>
          <w:tcPr>
            <w:tcW w:w="14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20260824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mutation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0.1937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0.2293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2000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</w:tr>
      <w:tr>
        <w:trPr/>
        <w:tc>
          <w:tcPr>
            <w:tcW w:w="14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20260824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fusion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0.1937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0.2294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6000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</w:tr>
      <w:tr>
        <w:trPr/>
        <w:tc>
          <w:tcPr>
            <w:tcW w:w="14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20260825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expression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0.2396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0.2776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2000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</w:tr>
      <w:tr>
        <w:trPr/>
        <w:tc>
          <w:tcPr>
            <w:tcW w:w="14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20260825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copy_number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0.2349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0.2699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2000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</w:tr>
      <w:tr>
        <w:trPr/>
        <w:tc>
          <w:tcPr>
            <w:tcW w:w="14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20260825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mutation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0.2395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0.2787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2000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</w:tr>
      <w:tr>
        <w:trPr/>
        <w:tc>
          <w:tcPr>
            <w:tcW w:w="14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20260825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fusion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0.2397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0.2788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6000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  <w:tc>
          <w:tcPr>
            <w:tcW w:w="146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</w:tr>
    </w:tbl>
    <w:p>
      <w:pPr>
        <w:pStyle w:val="Normal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Heading1"/>
        <w:keepNext w:val="true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S4. Leave-one-dataset-out results</w:t>
      </w:r>
    </w:p>
    <w:tbl>
      <w:tblPr>
        <w:tblStyle w:val="TableGrid"/>
        <w:tblW w:w="1022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278"/>
        <w:gridCol w:w="1278"/>
        <w:gridCol w:w="1278"/>
        <w:gridCol w:w="1278"/>
        <w:gridCol w:w="1278"/>
        <w:gridCol w:w="1278"/>
        <w:gridCol w:w="1278"/>
        <w:gridCol w:w="1278"/>
      </w:tblGrid>
      <w:tr>
        <w:trPr/>
        <w:tc>
          <w:tcPr>
            <w:tcW w:w="1278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Held-out</w:t>
            </w:r>
          </w:p>
        </w:tc>
        <w:tc>
          <w:tcPr>
            <w:tcW w:w="1278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Model</w:t>
            </w:r>
          </w:p>
        </w:tc>
        <w:tc>
          <w:tcPr>
            <w:tcW w:w="1278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Train rows</w:t>
            </w:r>
          </w:p>
        </w:tc>
        <w:tc>
          <w:tcPr>
            <w:tcW w:w="1278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Test rows</w:t>
            </w:r>
          </w:p>
        </w:tc>
        <w:tc>
          <w:tcPr>
            <w:tcW w:w="1278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MAE</w:t>
            </w:r>
          </w:p>
        </w:tc>
        <w:tc>
          <w:tcPr>
            <w:tcW w:w="1278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RMSE</w:t>
            </w:r>
          </w:p>
        </w:tc>
        <w:tc>
          <w:tcPr>
            <w:tcW w:w="1278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Complete</w:t>
            </w:r>
          </w:p>
        </w:tc>
        <w:tc>
          <w:tcPr>
            <w:tcW w:w="1278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Missing</w:t>
            </w:r>
          </w:p>
        </w:tc>
      </w:tr>
      <w:tr>
        <w:trPr/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CTD2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expression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9144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3906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0.2745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0.3231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</w:tr>
      <w:tr>
        <w:trPr/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CTD2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copy_number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9144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3906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0.2779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0.3287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</w:tr>
      <w:tr>
        <w:trPr/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CTD2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mutation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9144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3906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0.2803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0.3325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</w:tr>
      <w:tr>
        <w:trPr/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CTD2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fusion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9144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3906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0.2744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0.3238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</w:tr>
      <w:tr>
        <w:trPr/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GDSC1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expression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8592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4458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0.1961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0.2322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</w:tr>
      <w:tr>
        <w:trPr/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GDSC1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copy_number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8592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4458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0.2015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0.2353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</w:tr>
      <w:tr>
        <w:trPr/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GDSC1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mutation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8592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4458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0.1966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0.2342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</w:tr>
      <w:tr>
        <w:trPr/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GDSC1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fusion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8592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4458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0.1963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0.2339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</w:tr>
      <w:tr>
        <w:trPr/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GDSC2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expression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8364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4686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0.1973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0.2347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</w:tr>
      <w:tr>
        <w:trPr/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GDSC2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copy_number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8364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4686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0.1980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0.2326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</w:tr>
      <w:tr>
        <w:trPr/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GDSC2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mutation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8364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4686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0.2000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0.2406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</w:tr>
      <w:tr>
        <w:trPr/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GDSC2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fusion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8364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4686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0.1986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0.2387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not computed</w:t>
            </w:r>
          </w:p>
        </w:tc>
      </w:tr>
    </w:tbl>
    <w:p>
      <w:pPr>
        <w:pStyle w:val="Normal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Heading1"/>
        <w:keepNext w:val="true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S5. Structured missingness and redundancy</w:t>
      </w:r>
    </w:p>
    <w:p>
      <w:pPr>
        <w:pStyle w:val="Normal"/>
        <w:spacing w:lineRule="auto" w:line="252" w:before="0" w:after="120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The outer-joined tables preserve modality availability instead of silently restricting the analysis to complete cases. The summary below reports row-level availability and correlations between row means. These correlations are a compact redundancy audit, not a feature-level independence test.</w:t>
      </w:r>
    </w:p>
    <w:tbl>
      <w:tblPr>
        <w:tblStyle w:val="TableGrid"/>
        <w:tblW w:w="1022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135"/>
        <w:gridCol w:w="1136"/>
        <w:gridCol w:w="1136"/>
        <w:gridCol w:w="1136"/>
        <w:gridCol w:w="1137"/>
        <w:gridCol w:w="1136"/>
        <w:gridCol w:w="1136"/>
        <w:gridCol w:w="1136"/>
        <w:gridCol w:w="1136"/>
      </w:tblGrid>
      <w:tr>
        <w:trPr/>
        <w:tc>
          <w:tcPr>
            <w:tcW w:w="1135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Drug</w:t>
            </w:r>
          </w:p>
        </w:tc>
        <w:tc>
          <w:tcPr>
            <w:tcW w:w="1136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Rows</w:t>
            </w:r>
          </w:p>
        </w:tc>
        <w:tc>
          <w:tcPr>
            <w:tcW w:w="1136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Expr avail.</w:t>
            </w:r>
          </w:p>
        </w:tc>
        <w:tc>
          <w:tcPr>
            <w:tcW w:w="1136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CN avail.</w:t>
            </w:r>
          </w:p>
        </w:tc>
        <w:tc>
          <w:tcPr>
            <w:tcW w:w="1137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Mut. avail.</w:t>
            </w:r>
          </w:p>
        </w:tc>
        <w:tc>
          <w:tcPr>
            <w:tcW w:w="1136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All complete</w:t>
            </w:r>
          </w:p>
        </w:tc>
        <w:tc>
          <w:tcPr>
            <w:tcW w:w="1136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CN–Expr</w:t>
            </w:r>
          </w:p>
        </w:tc>
        <w:tc>
          <w:tcPr>
            <w:tcW w:w="1136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Expr–Mut.</w:t>
            </w:r>
          </w:p>
        </w:tc>
        <w:tc>
          <w:tcPr>
            <w:tcW w:w="1136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CN–Mut.</w:t>
            </w:r>
          </w:p>
        </w:tc>
      </w:tr>
      <w:tr>
        <w:trPr/>
        <w:tc>
          <w:tcPr>
            <w:tcW w:w="113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AZD-8055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779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0.985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0.707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0.987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0.705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+0.120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-0.047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-0.196</w:t>
            </w:r>
          </w:p>
        </w:tc>
      </w:tr>
      <w:tr>
        <w:trPr/>
        <w:tc>
          <w:tcPr>
            <w:tcW w:w="113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LEPTOMYCIN_B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786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0.985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0.705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0.989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0.702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+0.130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-0.051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-0.191</w:t>
            </w:r>
          </w:p>
        </w:tc>
      </w:tr>
      <w:tr>
        <w:trPr/>
        <w:tc>
          <w:tcPr>
            <w:tcW w:w="113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OUABAIN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778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0.985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0.710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0.987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0.707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+0.123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-0.045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-0.195</w:t>
            </w:r>
          </w:p>
        </w:tc>
      </w:tr>
      <w:tr>
        <w:trPr/>
        <w:tc>
          <w:tcPr>
            <w:tcW w:w="113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SR-II-138A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781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0.985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0.711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0.987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0.708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+0.123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-0.054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-0.193</w:t>
            </w:r>
          </w:p>
        </w:tc>
      </w:tr>
      <w:tr>
        <w:trPr/>
        <w:tc>
          <w:tcPr>
            <w:tcW w:w="113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VINCRISTINE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782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0.985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0.705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0.988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0.702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+0.118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-0.055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-0.190</w:t>
            </w:r>
          </w:p>
        </w:tc>
      </w:tr>
      <w:tr>
        <w:trPr/>
        <w:tc>
          <w:tcPr>
            <w:tcW w:w="113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ACY-1215_(GDSC1:264)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889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0.751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0.543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0.999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0.540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+0.150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-0.071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-0.149</w:t>
            </w:r>
          </w:p>
        </w:tc>
      </w:tr>
      <w:tr>
        <w:trPr/>
        <w:tc>
          <w:tcPr>
            <w:tcW w:w="113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AICA_RIBONUCLEOTIDE_(GDSC1:1001)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903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0.745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0.536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0.999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0.533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+0.166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-0.079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-0.146</w:t>
            </w:r>
          </w:p>
        </w:tc>
      </w:tr>
      <w:tr>
        <w:trPr/>
        <w:tc>
          <w:tcPr>
            <w:tcW w:w="113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DACOMITINIB_(GDSC1:363)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889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0.751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0.543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0.999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0.540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+0.150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-0.071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-0.149</w:t>
            </w:r>
          </w:p>
        </w:tc>
      </w:tr>
      <w:tr>
        <w:trPr/>
        <w:tc>
          <w:tcPr>
            <w:tcW w:w="113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GSK1059615_(GDSC1:374)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889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0.751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0.543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0.999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0.540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+0.150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-0.071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-0.149</w:t>
            </w:r>
          </w:p>
        </w:tc>
      </w:tr>
      <w:tr>
        <w:trPr/>
        <w:tc>
          <w:tcPr>
            <w:tcW w:w="113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TENOVIN-6_(GDSC1:342)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888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0.751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0.544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0.999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0.541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+0.150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-0.071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-0.149</w:t>
            </w:r>
          </w:p>
        </w:tc>
      </w:tr>
      <w:tr>
        <w:trPr/>
        <w:tc>
          <w:tcPr>
            <w:tcW w:w="113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MG-132_(GDSC2:1862)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938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0.747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0.533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0.999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0.530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+0.160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-0.054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-0.147</w:t>
            </w:r>
          </w:p>
        </w:tc>
      </w:tr>
      <w:tr>
        <w:trPr/>
        <w:tc>
          <w:tcPr>
            <w:tcW w:w="113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MK-2206_(GDSC2:1053)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937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0.747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0.534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0.999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0.530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+0.160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-0.054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-0.147</w:t>
            </w:r>
          </w:p>
        </w:tc>
      </w:tr>
      <w:tr>
        <w:trPr/>
        <w:tc>
          <w:tcPr>
            <w:tcW w:w="113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NAVITOCLAX_(GDSC2:1011)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937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0.747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0.534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0.999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0.530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+0.160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-0.054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-0.147</w:t>
            </w:r>
          </w:p>
        </w:tc>
      </w:tr>
      <w:tr>
        <w:trPr/>
        <w:tc>
          <w:tcPr>
            <w:tcW w:w="113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PICTILISIB_(GDSC2:1058)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936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0.747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0.534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0.999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0.531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+0.160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-0.064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-0.147</w:t>
            </w:r>
          </w:p>
        </w:tc>
      </w:tr>
      <w:tr>
        <w:trPr/>
        <w:tc>
          <w:tcPr>
            <w:tcW w:w="113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STAUROSPORINE_(GDSC2:1034)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938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0.747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0.533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0.999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0.530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+0.160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-0.054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-0.147</w:t>
            </w:r>
          </w:p>
        </w:tc>
      </w:tr>
    </w:tbl>
    <w:p>
      <w:pPr>
        <w:pStyle w:val="Normal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Heading1"/>
        <w:keepNext w:val="true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S6. Exploratory uncertainty calibration</w:t>
      </w:r>
    </w:p>
    <w:tbl>
      <w:tblPr>
        <w:tblStyle w:val="TableGrid"/>
        <w:tblW w:w="1022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1704"/>
        <w:gridCol w:w="1703"/>
        <w:gridCol w:w="1705"/>
        <w:gridCol w:w="1704"/>
        <w:gridCol w:w="1703"/>
        <w:gridCol w:w="1705"/>
      </w:tblGrid>
      <w:tr>
        <w:trPr/>
        <w:tc>
          <w:tcPr>
            <w:tcW w:w="1704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Dataset</w:t>
            </w:r>
          </w:p>
        </w:tc>
        <w:tc>
          <w:tcPr>
            <w:tcW w:w="1703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Drugs</w:t>
            </w:r>
          </w:p>
        </w:tc>
        <w:tc>
          <w:tcPr>
            <w:tcW w:w="1705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Mean coverage</w:t>
            </w:r>
          </w:p>
        </w:tc>
        <w:tc>
          <w:tcPr>
            <w:tcW w:w="1704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Min</w:t>
            </w:r>
          </w:p>
        </w:tc>
        <w:tc>
          <w:tcPr>
            <w:tcW w:w="1703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Max</w:t>
            </w:r>
          </w:p>
        </w:tc>
        <w:tc>
          <w:tcPr>
            <w:tcW w:w="1705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≥</w:t>
            </w:r>
            <w:r>
              <w:rPr>
                <w:rFonts w:eastAsia="ＭＳ 明朝" w:cs="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90%</w:t>
            </w:r>
          </w:p>
        </w:tc>
      </w:tr>
      <w:tr>
        <w:trPr/>
        <w:tc>
          <w:tcPr>
            <w:tcW w:w="170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GDSC1</w:t>
            </w:r>
          </w:p>
        </w:tc>
        <w:tc>
          <w:tcPr>
            <w:tcW w:w="170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70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0.900</w:t>
            </w:r>
          </w:p>
        </w:tc>
        <w:tc>
          <w:tcPr>
            <w:tcW w:w="170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0.854</w:t>
            </w:r>
          </w:p>
        </w:tc>
        <w:tc>
          <w:tcPr>
            <w:tcW w:w="170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0.948</w:t>
            </w:r>
          </w:p>
        </w:tc>
        <w:tc>
          <w:tcPr>
            <w:tcW w:w="170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  <w:tr>
        <w:trPr/>
        <w:tc>
          <w:tcPr>
            <w:tcW w:w="170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GDSC2</w:t>
            </w:r>
          </w:p>
        </w:tc>
        <w:tc>
          <w:tcPr>
            <w:tcW w:w="170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70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0.946</w:t>
            </w:r>
          </w:p>
        </w:tc>
        <w:tc>
          <w:tcPr>
            <w:tcW w:w="170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0.890</w:t>
            </w:r>
          </w:p>
        </w:tc>
        <w:tc>
          <w:tcPr>
            <w:tcW w:w="170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1.000</w:t>
            </w:r>
          </w:p>
        </w:tc>
        <w:tc>
          <w:tcPr>
            <w:tcW w:w="170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</w:tr>
      <w:tr>
        <w:trPr/>
        <w:tc>
          <w:tcPr>
            <w:tcW w:w="170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CTD2</w:t>
            </w:r>
          </w:p>
        </w:tc>
        <w:tc>
          <w:tcPr>
            <w:tcW w:w="170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70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0.886</w:t>
            </w:r>
          </w:p>
        </w:tc>
        <w:tc>
          <w:tcPr>
            <w:tcW w:w="170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0.827</w:t>
            </w:r>
          </w:p>
        </w:tc>
        <w:tc>
          <w:tcPr>
            <w:tcW w:w="170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0.919</w:t>
            </w:r>
          </w:p>
        </w:tc>
        <w:tc>
          <w:tcPr>
            <w:tcW w:w="170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</w:tbl>
    <w:p>
      <w:pPr>
        <w:pStyle w:val="Normal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Normal"/>
        <w:spacing w:lineRule="auto" w:line="252" w:before="0" w:after="120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This analysis is exploratory and is not part of the primary fusion benchmark. A nominal 90% coverage target was evaluated using fit/calibration/test partitions and 25% feature masking. Mean coverage was 0.911 across 15 drug evaluations, but coverage was not uniformly at or above nominal for every drug. These results do not establish a guaranteed interval and are not used for the primary performance claims.</w:t>
      </w:r>
    </w:p>
    <w:p>
      <w:pPr>
        <w:pStyle w:val="Heading1"/>
        <w:keepNext w:val="true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S7. Artifact and software manifest</w:t>
      </w:r>
    </w:p>
    <w:tbl>
      <w:tblPr>
        <w:tblStyle w:val="TableGrid"/>
        <w:tblW w:w="1022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5112"/>
        <w:gridCol w:w="5112"/>
      </w:tblGrid>
      <w:tr>
        <w:trPr/>
        <w:tc>
          <w:tcPr>
            <w:tcW w:w="5112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Artifact</w:t>
            </w:r>
          </w:p>
        </w:tc>
        <w:tc>
          <w:tcPr>
            <w:tcW w:w="5112" w:type="dxa"/>
            <w:tcBorders/>
            <w:shd w:fill="D9EAF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Role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configs/dataset_manifest.yaml</w:t>
            </w:r>
          </w:p>
        </w:tc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Locked data releases and provenance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configs/requirements-release.txt</w:t>
            </w:r>
          </w:p>
        </w:tc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Runtime version pins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data/processed/full_universe_manifests/</w:t>
            </w:r>
          </w:p>
        </w:tc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Persisted full-universe drug-held-out split manifests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data/processed/full_universe_*.json</w:t>
            </w:r>
          </w:p>
        </w:tc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Full-universe repeated-seed metrics, mean baseline, and per-drug diagnostics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data/processed/full_universe_secondary_summary.json</w:t>
            </w:r>
          </w:p>
        </w:tc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Secondary per-drug and baseline summary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data/processed/full_universe_lood_manifests/</w:t>
            </w:r>
          </w:p>
        </w:tc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Persisted full-universe LOOD manifests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data/processed/full_universe_lood_results.json</w:t>
            </w:r>
          </w:p>
        </w:tc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Full-universe cross-study metrics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data/processed/modality_conflict_summary.json</w:t>
            </w:r>
          </w:p>
        </w:tc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Signed fusion-minus-expression deltas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outputs/figures/composite_validation.png</w:t>
            </w:r>
          </w:p>
        </w:tc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Composite summary figure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scripts/generate_composite_figure.py</w:t>
            </w:r>
          </w:p>
        </w:tc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Composite figure generator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scripts/run_full_universe_benchmark.py</w:t>
            </w:r>
          </w:p>
        </w:tc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Full-universe drug-held-out runner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scripts/run_full_universe_lood.py</w:t>
            </w:r>
          </w:p>
        </w:tc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Full-universe LOOD runner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scripts/summarize_secondary_benchmark.py</w:t>
            </w:r>
          </w:p>
        </w:tc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Per-drug and baseline summary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scripts/audit_structured_missingness.py</w:t>
            </w:r>
          </w:p>
        </w:tc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Availability/redundancy audit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scripts/summarize_modality_conflict.py</w:t>
            </w:r>
          </w:p>
        </w:tc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Conflict summary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tests/</w:t>
            </w:r>
          </w:p>
        </w:tc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 w:ascii="Arial" w:hAnsi="Arial"/>
                <w:b w:val="false"/>
                <w:kern w:val="0"/>
                <w:sz w:val="24"/>
                <w:szCs w:val="24"/>
                <w:lang w:val="en-US" w:eastAsia="en-US" w:bidi="ar-SA"/>
              </w:rPr>
              <w:t>13 automated tests</w:t>
            </w:r>
          </w:p>
        </w:tc>
      </w:tr>
    </w:tbl>
    <w:p>
      <w:pPr>
        <w:pStyle w:val="Normal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</w:r>
    </w:p>
    <w:p>
      <w:pPr>
        <w:pStyle w:val="Heading1"/>
        <w:keepNext w:val="true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S8. Limitations and interpretation guardrails</w:t>
      </w:r>
    </w:p>
    <w:p>
      <w:pPr>
        <w:pStyle w:val="Normal"/>
        <w:spacing w:lineRule="auto" w:line="252" w:before="0" w:after="120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The evaluation universe is small and declared rather than a complete drug screen. Drug identities do not broadly overlap across GDSC1, GDSC2, and CTD², so leave-one-dataset-out validation is cross-study transfer, not same-drug replication. The Ridge baseline is intentionally simple and does not establish the behavior of all fusion architectures. Outer-join availability reflects the prepared tables and should not be interpreted as a clinical assay-availability estimate. MoA mapping is complete for the declared 15 compounds but not for all 316 GDSC1 response compounds. No causal biological mechanism is inferred from the predictive comparisons.</w:t>
      </w:r>
    </w:p>
    <w:sectPr>
      <w:type w:val="nextPage"/>
      <w:pgSz w:w="12240" w:h="15840"/>
      <w:pgMar w:left="1008" w:right="1008" w:gutter="0" w:header="0" w:top="1008" w:footer="0" w:bottom="100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/>
    <w:family w:val="swiss"/>
    <w:pitch w:val="variable"/>
  </w:font>
  <w:font w:name="Symbol"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85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Arial" w:hAnsi="Arial" w:eastAsia="ＭＳ 明朝" w:cs="" w:cstheme="minorBidi" w:eastAsiaTheme="minorEastAsia"/>
      <w:color w:val="auto"/>
      <w:kern w:val="0"/>
      <w:sz w:val="1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000000"/>
      <w:spacing w:val="5"/>
      <w:kern w:val="2"/>
      <w:sz w:val="3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LibreOffice/26.2.1.2$MacOSX_AARCH64 LibreOffice_project/8399f6259d8c87f40e7255cdb3c9b958f5e08948</Application>
  <AppVersion>15.0000</AppVersion>
  <Pages>6</Pages>
  <Words>1063</Words>
  <Characters>7096</Characters>
  <CharactersWithSpaces>7589</CharactersWithSpaces>
  <Paragraphs>557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2026-08-28T12:28:24Z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