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[ADD EMAIL]</w:t>
      </w:r>
    </w:p>
    <w:p/>
    <w:p>
      <w:r>
        <w:rPr>
          <w:b/>
        </w:rPr>
        <w:t xml:space="preserve">Article type: </w:t>
      </w:r>
      <w:r>
        <w:t>Research article</w:t>
      </w:r>
    </w:p>
    <w:p>
      <w:r>
        <w:rPr>
          <w:b/>
        </w:rPr>
        <w:t xml:space="preserve">Declarations: </w:t>
      </w:r>
      <w:r>
        <w:t>Funding, competing interests, CRediT, and generative-AI declaration to be completed before submission.</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prespecified a workflow that treats incremental predictive value, missingness, calibration,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preregistered the following directional expectations for interpretation: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1"/>
        <w:keepNext/>
      </w:pPr>
      <w:r>
        <w:t>3. Results</w:t>
      </w:r>
    </w:p>
    <w:p>
      <w:pPr>
        <w:pStyle w:val="Heading2"/>
        <w:keepNext/>
      </w:pPr>
      <w:r>
        <w:t>3.1. Drug-heldout validation</w:t>
      </w:r>
    </w:p>
    <w:p>
      <w:pPr>
        <w:spacing w:after="120" w:line="259" w:lineRule="auto"/>
      </w:pPr>
      <w:r>
        <w:t>Drug-held-out performance was split-sensitive: fusion improved two of three seeds and worsened slightly on one. The mean RMSE difference was modest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0.3276</w:t>
            </w:r>
          </w:p>
        </w:tc>
        <w:tc>
          <w:tcPr>
            <w:tcW w:type="dxa" w:w="1958"/>
            <w:vAlign w:val="center"/>
          </w:tcPr>
          <w:p>
            <w:pPr>
              <w:spacing w:after="0"/>
            </w:pPr>
            <w:r/>
            <w:r>
              <w:rPr>
                <w:b w:val="0"/>
                <w:sz w:val="16"/>
              </w:rPr>
              <w:t>0.3575</w:t>
            </w:r>
          </w:p>
        </w:tc>
        <w:tc>
          <w:tcPr>
            <w:tcW w:type="dxa" w:w="1958"/>
            <w:vAlign w:val="center"/>
          </w:tcPr>
          <w:p>
            <w:pPr>
              <w:spacing w:after="0"/>
            </w:pPr>
            <w:r/>
            <w:r>
              <w:rPr>
                <w:b w:val="0"/>
                <w:sz w:val="16"/>
              </w:rPr>
              <w:t>0.4048</w:t>
            </w:r>
          </w:p>
        </w:tc>
        <w:tc>
          <w:tcPr>
            <w:tcW w:type="dxa" w:w="1958"/>
            <w:vAlign w:val="center"/>
          </w:tcPr>
          <w:p>
            <w:pPr>
              <w:spacing w:after="0"/>
            </w:pPr>
            <w:r/>
            <w:r>
              <w:rPr>
                <w:b w:val="0"/>
                <w:sz w:val="16"/>
              </w:rPr>
              <w:t>0.5649</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0.2585</w:t>
            </w:r>
          </w:p>
        </w:tc>
        <w:tc>
          <w:tcPr>
            <w:tcW w:type="dxa" w:w="1958"/>
            <w:vAlign w:val="center"/>
          </w:tcPr>
          <w:p>
            <w:pPr>
              <w:spacing w:after="0"/>
            </w:pPr>
            <w:r/>
            <w:r>
              <w:rPr>
                <w:b w:val="0"/>
                <w:sz w:val="16"/>
              </w:rPr>
              <w:t>0.4121</w:t>
            </w:r>
          </w:p>
        </w:tc>
        <w:tc>
          <w:tcPr>
            <w:tcW w:type="dxa" w:w="1958"/>
            <w:vAlign w:val="center"/>
          </w:tcPr>
          <w:p>
            <w:pPr>
              <w:spacing w:after="0"/>
            </w:pPr>
            <w:r/>
            <w:r>
              <w:rPr>
                <w:b w:val="0"/>
                <w:sz w:val="16"/>
              </w:rPr>
              <w:t>0.5062</w:t>
            </w:r>
          </w:p>
        </w:tc>
        <w:tc>
          <w:tcPr>
            <w:tcW w:type="dxa" w:w="1958"/>
            <w:vAlign w:val="center"/>
          </w:tcPr>
          <w:p>
            <w:pPr>
              <w:spacing w:after="0"/>
            </w:pPr>
            <w:r/>
            <w:r>
              <w:rPr>
                <w:b w:val="0"/>
                <w:sz w:val="16"/>
              </w:rPr>
              <w:t>0.3101</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0.2291</w:t>
            </w:r>
          </w:p>
        </w:tc>
        <w:tc>
          <w:tcPr>
            <w:tcW w:type="dxa" w:w="1958"/>
            <w:vAlign w:val="center"/>
          </w:tcPr>
          <w:p>
            <w:pPr>
              <w:spacing w:after="0"/>
            </w:pPr>
            <w:r/>
            <w:r>
              <w:rPr>
                <w:b w:val="0"/>
                <w:sz w:val="16"/>
              </w:rPr>
              <w:t>0.4935</w:t>
            </w:r>
          </w:p>
        </w:tc>
        <w:tc>
          <w:tcPr>
            <w:tcW w:type="dxa" w:w="1958"/>
            <w:vAlign w:val="center"/>
          </w:tcPr>
          <w:p>
            <w:pPr>
              <w:spacing w:after="0"/>
            </w:pPr>
            <w:r/>
            <w:r>
              <w:rPr>
                <w:b w:val="0"/>
                <w:sz w:val="16"/>
              </w:rPr>
              <w:t>0.6469</w:t>
            </w:r>
          </w:p>
        </w:tc>
        <w:tc>
          <w:tcPr>
            <w:tcW w:type="dxa" w:w="1958"/>
            <w:vAlign w:val="center"/>
          </w:tcPr>
          <w:p>
            <w:pPr>
              <w:spacing w:after="0"/>
            </w:pPr>
            <w:r/>
            <w:r>
              <w:rPr>
                <w:b w:val="0"/>
                <w:sz w:val="16"/>
              </w:rPr>
              <w:t>0.2870</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0.1481</w:t>
            </w:r>
          </w:p>
        </w:tc>
        <w:tc>
          <w:tcPr>
            <w:tcW w:type="dxa" w:w="2448"/>
            <w:vAlign w:val="center"/>
          </w:tcPr>
          <w:p>
            <w:pPr>
              <w:spacing w:after="0"/>
            </w:pPr>
            <w:r/>
            <w:r>
              <w:rPr>
                <w:b w:val="0"/>
                <w:sz w:val="16"/>
              </w:rPr>
              <w:t>0.1326</w:t>
            </w:r>
          </w:p>
        </w:tc>
        <w:tc>
          <w:tcPr>
            <w:tcW w:type="dxa" w:w="2448"/>
            <w:vAlign w:val="center"/>
          </w:tcPr>
          <w:p>
            <w:pPr>
              <w:spacing w:after="0"/>
            </w:pPr>
            <w:r/>
            <w:r>
              <w:rPr>
                <w:b w:val="0"/>
                <w:sz w:val="16"/>
              </w:rPr>
              <w:t>-0.0155</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0.2174</w:t>
            </w:r>
          </w:p>
        </w:tc>
        <w:tc>
          <w:tcPr>
            <w:tcW w:type="dxa" w:w="2448"/>
            <w:vAlign w:val="center"/>
          </w:tcPr>
          <w:p>
            <w:pPr>
              <w:spacing w:after="0"/>
            </w:pPr>
            <w:r/>
            <w:r>
              <w:rPr>
                <w:b w:val="0"/>
                <w:sz w:val="16"/>
              </w:rPr>
              <w:t>0.2148</w:t>
            </w:r>
          </w:p>
        </w:tc>
        <w:tc>
          <w:tcPr>
            <w:tcW w:type="dxa" w:w="2448"/>
            <w:vAlign w:val="center"/>
          </w:tcPr>
          <w:p>
            <w:pPr>
              <w:spacing w:after="0"/>
            </w:pPr>
            <w:r/>
            <w:r>
              <w:rPr>
                <w:b w:val="0"/>
                <w:sz w:val="16"/>
              </w:rPr>
              <w:t>-0.0026</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0.2535</w:t>
            </w:r>
          </w:p>
        </w:tc>
        <w:tc>
          <w:tcPr>
            <w:tcW w:type="dxa" w:w="2448"/>
            <w:vAlign w:val="center"/>
          </w:tcPr>
          <w:p>
            <w:pPr>
              <w:spacing w:after="0"/>
            </w:pPr>
            <w:r/>
            <w:r>
              <w:rPr>
                <w:b w:val="0"/>
                <w:sz w:val="16"/>
              </w:rPr>
              <w:t>0.2542</w:t>
            </w:r>
          </w:p>
        </w:tc>
        <w:tc>
          <w:tcPr>
            <w:tcW w:type="dxa" w:w="2448"/>
            <w:vAlign w:val="center"/>
          </w:tcPr>
          <w:p>
            <w:pPr>
              <w:spacing w:after="0"/>
            </w:pPr>
            <w:r/>
            <w:r>
              <w:rPr>
                <w:b w:val="0"/>
                <w:sz w:val="16"/>
              </w:rPr>
              <w:t>+0.0007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partially supported: fusion improved two of three drug-heldout seeds, but the effect was small and split-sensitive.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fusion failures alongside gains and for treating cross-study validation as a separate target from within-dataset drug generalization.</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