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20260821, 20260822, and 20260823. Leave-one-dataset-out folds hold out CTD2, GDSC1, or GDSC2 in turn. RMSE and MAE are calculated on the complete held-out response rows. Missingness strata classify a row as complete only when all selected features for each modality are available;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0.1179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0.1277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0.1593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0.1146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0.1435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0.1047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1046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0.1865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0.1897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0.2241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0.2148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1271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0.2477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0.1928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0.2446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0.2542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470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0.2793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0.3276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0.2964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0.3575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0.3150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0.4048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0.4306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0.5649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2753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1153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0.2140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0.2846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0.4121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0.3340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0.5062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0.3101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2057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0.3432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0.4935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0.6469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0.2870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2485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2201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</w:tbl>
    <w:p/>
    <w:p>
      <w:pPr>
        <w:pStyle w:val="Heading1"/>
        <w:keepNext/>
      </w:pPr>
      <w:r>
        <w:t>S6. Uncertainty calibration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Nominal coverage target was 90%; each drug evaluation used a fit/calibration/test partition and 25% feature masking in the uncertainty calibration analysis. The pooled mean coverage was 0.911 across 15 evaluations; coverage was not uniformly at or above nominal for every drug.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data/processed/drug_heldout_splits/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grouped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data/processed/drug_heldout_results_*.json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Formal repeated-seed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data/processed/leave_one_dataset_out_results.json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scripts/run_drug_heldout_benchmark.py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scripts/run_leave_one_dataset_out.py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