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A model that performs reliably across a declared validation target may help rank candidate molecular contexts for early discovery studies; however, cell-line prediction alone does not establish clinical utility, prospective benefit, or suitability for dosing decisions. These boundaries motivate an evaluation that reports transfer failures and data-availability constraints alongside average error metrics.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CTD².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