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evaluation universe contained 15 compounds from GDSC1, GDSC2, and CTD². Models used fold-local feature selection and Ridge regression, with drug-held-out and leave-one-dataset-out validation. In full-universe drug-held-out validation, fusion produced a small RMSE improvement in all three repeated splits, with mean RMSE 0.2175 versus 0.2188 for expression alone. In cross-study validation, fusion was slightly worse in all three held-out datasets: CTD² 0.3238 versus 0.3231, GDSC1 0.2339 versus 0.2322, and GDSC2 0.2387 versus 0.2347. Structured missingness and weak-to-moderate row-level modality correlations indicate that additional modalities can introduce incomplete observations and domain-sensitive signal.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can answer an easier question than prediction for an unseen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Cross-study transfer is also less frequently treated as a primary test than within-dataset cross-validation, despite differences in response scales, cell-line coverage, and molecular measurement between screening resources. We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locked release identifiers. Expression, copy-number, and damaging-mutation features were evaluated separately and in concatenated fusion models. Within each held-out fold, the top 2,000 features per modality were selected from the complete raw feature universe using training rows only. Models used median imputation, standardization, and Ridge regression.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prespecified cross-dataset subset, not the complete drug universe available in any one portal release.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pStyle w:val="Heading2"/>
        <w:keepNext/>
      </w:pPr>
      <w:r>
        <w:t>2.6. Split manifests and reproducibility</w:t>
      </w:r>
    </w:p>
    <w:p>
      <w:pPr>
        <w:spacing w:after="120" w:line="259" w:lineRule="auto"/>
      </w:pPr>
      <w:r>
        <w:t>Three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1"/>
        <w:keepNext/>
      </w:pPr>
      <w:r>
        <w:t>3. Results</w:t>
      </w:r>
    </w:p>
    <w:p>
      <w:pPr>
        <w:pStyle w:val="Heading2"/>
        <w:keepNext/>
      </w:pPr>
      <w:r>
        <w:t>3.1. Drug-heldout validation</w:t>
      </w:r>
    </w:p>
    <w:p>
      <w:pPr>
        <w:spacing w:after="120" w:line="259" w:lineRule="auto"/>
      </w:pPr>
      <w:r>
        <w:t>Drug-held-out performance showed a small improvement in all three full-universe splits. The mean RMSE across seeds was 0.2175 for fusion versus 0.2188 for expression alone; this arithmetic mean is not a pooled observation-level RMSE and should not be interpreted as a universal gain. Per-seed and per-model values are reported in Table 2 and Supplementary Table S3.</w:t>
      </w:r>
    </w:p>
    <w:p>
      <w:pPr>
        <w:pStyle w:val="Heading2"/>
        <w:keepNext/>
      </w:pPr>
      <w:r>
        <w:t>3.2. Cross-study transfer</w:t>
      </w:r>
    </w:p>
    <w:p>
      <w:pPr>
        <w:spacing w:after="120" w:line="259" w:lineRule="auto"/>
      </w:pPr>
      <w:r>
        <w:t>In leave-one-dataset-out validation, expression was consistently stronger than fusion, with the largest fusion degradation on CTD2. These folds test transfer across source datasets, not replication of the same drug. The signed fusion-minus-expression RMSE deltas are shown in Figure 2 and Supplementary Table S4.</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This pattern is compatible with prior reports that multimodal integration can improve prediction under particular data and validation settings [5,8], while benchmarking work shows variation across algorithms, drugs, and transfer targets [9,10]. Our controlled comparison adds a more modest observation: the incremental fusion effect is small within the declared drug-held-out benchmark and reverses direction under source-dataset transfer. This does not refute multimodal modeling; it shows why a gain observed in one validation regime should not be generalized to another without direct testing. The study is limited by the small prespecified 15-drug universe, limited same-drug overlap across datasets, and the use of compact Ridge baselines rather than a broad model class.</w:t>
      </w:r>
    </w:p>
    <w:p>
      <w:pPr>
        <w:spacing w:after="120" w:line="259" w:lineRule="auto"/>
      </w:pPr>
      <w:r>
        <w:t>H1 was supported in the full-universe drug-heldout benchmark, although the improvement was small in every seed.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spacing w:after="120" w:line="259" w:lineRule="auto"/>
      </w:pPr>
      <w:r>
        <w:t>The methodological implication is that validation design is part of the scientific claim. A random cell-line–drug split can estimate interpolation within an existing response system, whereas a drug-held-out split asks whether molecular features support prediction for compounds not represented in training. A leave-one-dataset-out split adds a different stress test: it asks whether the learned relationship survives a change in source, assay, and coverage. These estimands should not be conflated. Our study uses them sequentially to show that the answer to ‘does fusion help?’ depends on which generalization target is intended.</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The improvement is small relative to the seed-to-seed variation, and two favorable splits do not establish a stable effect across an expanded compound universe. We therefore describe this result as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[4–6,8].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and the absence of prospective experimental validation. The modality set also excludes potentially informative assays such as proteomics, methylation, and lineage-aware representations.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6.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three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2/3 drug-heldout seeds</w:t>
            </w:r>
          </w:p>
        </w:tc>
        <w:tc>
          <w:tcPr>
            <w:tcW w:type="dxa" w:w="3264"/>
            <w:vAlign w:val="center"/>
          </w:tcPr>
          <w:p>
            <w:pPr>
              <w:spacing w:after="0"/>
            </w:pPr>
            <w:r/>
            <w:r>
              <w:rPr>
                <w:b w:val="0"/>
                <w:sz w:val="16"/>
              </w:rPr>
              <w:t>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prespecified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complete/missing test-row counts for the three drug-heldout seeds. Supplementary Table S2 records the frozen artifact and validation scope. Figures are supplied separately in the submission package.</w:t>
      </w:r>
    </w:p>
    <w:p>
      <w:r>
        <w:rPr>
          <w:b/>
        </w:rPr>
        <w:t xml:space="preserve">Supplementary Table S1.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S2.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prespecified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3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CTD2,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