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Artificial Intelligence in Industrial Pharmaceutics</w:t>
        <w:br/>
        <w:t>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r>
        <w:br w:type="page"/>
      </w:r>
    </w:p>
    <w:p>
      <w:pPr>
        <w:pStyle w:val="Heading1"/>
        <w:keepNext/>
      </w:pPr>
      <w:r>
        <w:t>Abstract</w:t>
      </w:r>
    </w:p>
    <w:p>
      <w:pPr>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evaluation universe contained 15 compounds from GDSC1, GDSC2, and CTD². Models used fold-local feature selection and Ridge regression, with drug-held-out and leave-one-dataset-out validation. In full-universe drug-held-out validation across five repeated splits, fusion had mean RMSE 0.2322 versus 0.2328 for expression alone (mean fusion-minus-expression RMSE −0.0006; seed-level SD 0.0013). Fusion improved in three of five splits and was slightly worse in two. In cross-study validation, fusion was slightly worse in all three held-out datasets: CTD² 0.3238 versus 0.3231, GDSC1 0.2339 versus 0.2322, and GDSC2 0.2387 versus 0.2347. Structured missingness and weak-to-moderate row-level modality correlations indicate that additional modalities can introduce incomplete observations and domain-sensitive signal. These findings support evaluating multimodal models by incremental value, transferability, and failure modes rather than assuming that more omics is always better.</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specified a workflow that treats incremental predictive value, missingness, and modality conflict as joint evaluation targets.</w:t>
      </w:r>
    </w:p>
    <w:p>
      <w:pPr>
        <w:pStyle w:val="Heading2"/>
        <w:keepNext/>
      </w:pPr>
      <w:r>
        <w:t>1.1. Brief literature context</w:t>
      </w:r>
    </w:p>
    <w:p>
      <w:pPr>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pPr>
      <w: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pPr>
      <w: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We designed the analysis around that narrower estimand.</w:t>
      </w:r>
    </w:p>
    <w:p>
      <w:pPr>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can answer an easier question than prediction for an unseen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pPr>
      <w:r>
        <w:t>Published comparisons therefore leave a practical gap: it remains difficult to tell whether a reported multimodal gain reflects complementary biology, a favorable split, source-specific assay coverage, or preprocessing choices. Cross-study transfer is also less frequently treated as a primary test than within-dataset cross-validation, despite differences in response scales, cell-line coverage, and molecular measurement between screening resources. We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pStyle w:val="Heading2"/>
        <w:keepNext/>
      </w:pPr>
      <w:r>
        <w:t>1.2. Research questions and hypotheses</w:t>
      </w:r>
    </w:p>
    <w:p>
      <w:pPr>
        <w:spacing w:after="120" w:line="259" w:lineRule="auto"/>
      </w:pPr>
      <w:r>
        <w:t>We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We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We harmonized DepMap response and molecular data from GDSC1, GDSC2, and CTD² using locked release identifiers. Expression, copy-number, and damaging-mutation features were evaluated separately and in concatenated fusion models. Within each held-out fold, the top 2,000 features per modality were selected from the complete raw feature universe using training rows only. Models used median imputation, standardization, and Ridge regression.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prespecified cross-dataset subset, not the complete drug universe available in any one portal release.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We report mean absolute error (MAE) and root mean squared error (RMSE). Fusion deltas are defined as fusion RMSE minus expression RMSE; negative values favor fusion and positive values favor expression.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pStyle w:val="Heading2"/>
        <w:keepNext/>
      </w:pPr>
      <w:r>
        <w:t>2.6. Split manifests and reproducibility</w:t>
      </w:r>
    </w:p>
    <w:p>
      <w:pPr>
        <w:spacing w:after="120" w:line="259" w:lineRule="auto"/>
      </w:pPr>
      <w:r>
        <w:t>Five drug-held-out manifests were persisted before model evaluation. Grouped splitting prevents rows from the same drug from appearing in both training and test partitions.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2"/>
        <w:keepNext/>
      </w:pPr>
      <w:r>
        <w:t>2.7. Analysis sequence and implementation controls</w:t>
      </w:r>
    </w:p>
    <w:p>
      <w:pPr>
        <w:spacing w:after="120" w:line="259" w:lineRule="auto"/>
      </w:pPr>
      <w: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pPr>
      <w: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pPr>
        <w:pStyle w:val="Heading1"/>
        <w:keepNext/>
      </w:pPr>
      <w:r>
        <w:t>3. Results</w:t>
      </w:r>
    </w:p>
    <w:p>
      <w:pPr>
        <w:pStyle w:val="Heading2"/>
        <w:keepNext/>
      </w:pPr>
      <w:r>
        <w:t>3.1. Drug-heldout validation</w:t>
      </w:r>
    </w:p>
    <w:p>
      <w:pPr>
        <w:spacing w:after="120" w:line="259" w:lineRule="auto"/>
      </w:pPr>
      <w: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 2 and Supplementary Table S3.</w:t>
      </w:r>
    </w:p>
    <w:p>
      <w:pPr>
        <w:spacing w:after="120" w:line="259" w:lineRule="auto"/>
      </w:pPr>
      <w:r>
        <w:t>As a secondary diagnostic, a training-set mean-response baseline was worse than expression and fusion in four of five seeds; in the fifth seed it was better than both. A per-drug audit covered eight unique held-out compounds across 15 drug-seed cells; fusion improved RMSE in 11 cells and worsened it in four. Because compounds recur across seeds and only three drugs are held out per split, this audit is descriptive rather than an independent estimate of generalization.</w:t>
      </w:r>
    </w:p>
    <w:p>
      <w:pPr>
        <w:pStyle w:val="Heading2"/>
        <w:keepNext/>
      </w:pPr>
      <w:r>
        <w:t>3.2. Cross-study transfer</w:t>
      </w:r>
    </w:p>
    <w:p>
      <w:pPr>
        <w:spacing w:after="120" w:line="259" w:lineRule="auto"/>
      </w:pPr>
      <w:r>
        <w:t>In leave-one-dataset-out validation, expression was consistently stronger than fusion, with the largest fusion degradation on CTD2. These folds test transfer across source datasets, not replication of the same drug. The signed fusion-minus-expression RMSE deltas are shown in Figure 2 and Supplementary Table S4.</w:t>
      </w:r>
    </w:p>
    <w:p>
      <w:pPr>
        <w:spacing w:after="120" w:line="259" w:lineRule="auto"/>
      </w:pPr>
      <w:r>
        <w:t>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This makes the result a stress test for portability, while also limiting the specificity of any explanation for the observed degradation.</w:t>
      </w:r>
    </w:p>
    <w:p>
      <w:pPr>
        <w:pStyle w:val="Heading2"/>
        <w:keepNext/>
      </w:pPr>
      <w:r>
        <w:t>3.3.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w:t>
      </w:r>
    </w:p>
    <w:p>
      <w:pPr>
        <w:spacing w:after="120" w:line="259" w:lineRule="auto"/>
      </w:pPr>
      <w:r>
        <w:t>The outer-join audit found mean availability of 0.827 for expression, 0.594 for copy number, and 0.995 for damaging mutation, with 0.591 of rows complete across all three blocks. These values are properties of the prepared 15-compound tables and selected cell-line intersection, not estimates of portal-wide or clinical assay availability. They provide context for why a fusion model may face a different effective population from a single-modality model if complete-case filtering is applied.</w:t>
      </w:r>
    </w:p>
    <w:p>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p>
      <w:pPr>
        <w:spacing w:after="40"/>
      </w:pPr>
    </w:p>
    <w:p>
      <w:r>
        <w:rPr>
          <w:b/>
        </w:rPr>
        <w:t xml:space="preserve">Table 2a. </w:t>
      </w:r>
      <w: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spacing w:after="40"/>
      </w:pPr>
    </w:p>
    <w:p>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r>
        <w:tc>
          <w:tcPr>
            <w:tcW w:type="dxa" w:w="2448"/>
            <w:vAlign w:val="center"/>
          </w:tcPr>
          <w:p>
            <w:pPr>
              <w:spacing w:after="0"/>
            </w:pPr>
            <w:r/>
            <w:r>
              <w:rPr>
                <w:b w:val="0"/>
                <w:sz w:val="16"/>
              </w:rPr>
              <w:t>20260824</w:t>
            </w:r>
          </w:p>
        </w:tc>
        <w:tc>
          <w:tcPr>
            <w:tcW w:type="dxa" w:w="2448"/>
            <w:vAlign w:val="center"/>
          </w:tcPr>
          <w:p>
            <w:pPr>
              <w:spacing w:after="0"/>
            </w:pPr>
            <w:r/>
            <w:r>
              <w:rPr>
                <w:b w:val="0"/>
                <w:sz w:val="16"/>
              </w:rPr>
              <w:t>0.2299</w:t>
            </w:r>
          </w:p>
        </w:tc>
        <w:tc>
          <w:tcPr>
            <w:tcW w:type="dxa" w:w="2448"/>
            <w:vAlign w:val="center"/>
          </w:tcPr>
          <w:p>
            <w:pPr>
              <w:spacing w:after="0"/>
            </w:pPr>
            <w:r/>
            <w:r>
              <w:rPr>
                <w:b w:val="0"/>
                <w:sz w:val="16"/>
              </w:rPr>
              <w:t>0.2294</w:t>
            </w:r>
          </w:p>
        </w:tc>
        <w:tc>
          <w:tcPr>
            <w:tcW w:type="dxa" w:w="2448"/>
            <w:vAlign w:val="center"/>
          </w:tcPr>
          <w:p>
            <w:pPr>
              <w:spacing w:after="0"/>
            </w:pPr>
            <w:r/>
            <w:r>
              <w:rPr>
                <w:b w:val="0"/>
                <w:sz w:val="16"/>
              </w:rPr>
              <w:t>-0.0005</w:t>
            </w:r>
          </w:p>
        </w:tc>
      </w:tr>
      <w:tr>
        <w:tc>
          <w:tcPr>
            <w:tcW w:type="dxa" w:w="2448"/>
            <w:vAlign w:val="center"/>
          </w:tcPr>
          <w:p>
            <w:pPr>
              <w:spacing w:after="0"/>
            </w:pPr>
            <w:r/>
            <w:r>
              <w:rPr>
                <w:b w:val="0"/>
                <w:sz w:val="16"/>
              </w:rPr>
              <w:t>20260825</w:t>
            </w:r>
          </w:p>
        </w:tc>
        <w:tc>
          <w:tcPr>
            <w:tcW w:type="dxa" w:w="2448"/>
            <w:vAlign w:val="center"/>
          </w:tcPr>
          <w:p>
            <w:pPr>
              <w:spacing w:after="0"/>
            </w:pPr>
            <w:r/>
            <w:r>
              <w:rPr>
                <w:b w:val="0"/>
                <w:sz w:val="16"/>
              </w:rPr>
              <w:t>0.2776</w:t>
            </w:r>
          </w:p>
        </w:tc>
        <w:tc>
          <w:tcPr>
            <w:tcW w:type="dxa" w:w="2448"/>
            <w:vAlign w:val="center"/>
          </w:tcPr>
          <w:p>
            <w:pPr>
              <w:spacing w:after="0"/>
            </w:pPr>
            <w:r/>
            <w:r>
              <w:rPr>
                <w:b w:val="0"/>
                <w:sz w:val="16"/>
              </w:rPr>
              <w:t>0.2788</w:t>
            </w:r>
          </w:p>
        </w:tc>
        <w:tc>
          <w:tcPr>
            <w:tcW w:type="dxa" w:w="2448"/>
            <w:vAlign w:val="center"/>
          </w:tcPr>
          <w:p>
            <w:pPr>
              <w:spacing w:after="0"/>
            </w:pPr>
            <w:r/>
            <w:r>
              <w:rPr>
                <w:b w:val="0"/>
                <w:sz w:val="16"/>
              </w:rPr>
              <w:t>+0.0012</w:t>
            </w:r>
          </w:p>
        </w:tc>
      </w:tr>
    </w:tbl>
    <w:p>
      <w:pPr>
        <w:spacing w:after="40"/>
      </w:pPr>
    </w:p>
    <w:p>
      <w:r>
        <w:rPr>
          <w:b/>
        </w:rPr>
        <w:t xml:space="preserve">Table 3. </w:t>
      </w:r>
      <w: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0.1955</w:t>
            </w:r>
          </w:p>
        </w:tc>
        <w:tc>
          <w:tcPr>
            <w:tcW w:type="dxa" w:w="1958"/>
            <w:vAlign w:val="center"/>
          </w:tcPr>
          <w:p>
            <w:pPr>
              <w:spacing w:after="0"/>
            </w:pPr>
            <w:r/>
            <w:r>
              <w:rPr>
                <w:b w:val="0"/>
                <w:sz w:val="16"/>
              </w:rPr>
              <w:t>0.2299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0.1991</w:t>
            </w:r>
          </w:p>
        </w:tc>
        <w:tc>
          <w:tcPr>
            <w:tcW w:type="dxa" w:w="1958"/>
            <w:vAlign w:val="center"/>
          </w:tcPr>
          <w:p>
            <w:pPr>
              <w:spacing w:after="0"/>
            </w:pPr>
            <w:r/>
            <w:r>
              <w:rPr>
                <w:b w:val="0"/>
                <w:sz w:val="16"/>
              </w:rPr>
              <w:t>0.2313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0.2294</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0.2396</w:t>
            </w:r>
          </w:p>
        </w:tc>
        <w:tc>
          <w:tcPr>
            <w:tcW w:type="dxa" w:w="1958"/>
            <w:vAlign w:val="center"/>
          </w:tcPr>
          <w:p>
            <w:pPr>
              <w:spacing w:after="0"/>
            </w:pPr>
            <w:r/>
            <w:r>
              <w:rPr>
                <w:b w:val="0"/>
                <w:sz w:val="16"/>
              </w:rPr>
              <w:t>0.2776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0.2349</w:t>
            </w:r>
          </w:p>
        </w:tc>
        <w:tc>
          <w:tcPr>
            <w:tcW w:type="dxa" w:w="1958"/>
            <w:vAlign w:val="center"/>
          </w:tcPr>
          <w:p>
            <w:pPr>
              <w:spacing w:after="0"/>
            </w:pPr>
            <w:r/>
            <w:r>
              <w:rPr>
                <w:b w:val="0"/>
                <w:sz w:val="16"/>
              </w:rPr>
              <w:t>0.2699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0.2395</w:t>
            </w:r>
          </w:p>
        </w:tc>
        <w:tc>
          <w:tcPr>
            <w:tcW w:type="dxa" w:w="1958"/>
            <w:vAlign w:val="center"/>
          </w:tcPr>
          <w:p>
            <w:pPr>
              <w:spacing w:after="0"/>
            </w:pPr>
            <w:r/>
            <w:r>
              <w:rPr>
                <w:b w:val="0"/>
                <w:sz w:val="16"/>
              </w:rPr>
              <w:t>0.2787</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0.2397</w:t>
            </w:r>
          </w:p>
        </w:tc>
        <w:tc>
          <w:tcPr>
            <w:tcW w:type="dxa" w:w="1958"/>
            <w:vAlign w:val="center"/>
          </w:tcPr>
          <w:p>
            <w:pPr>
              <w:spacing w:after="0"/>
            </w:pPr>
            <w:r/>
            <w:r>
              <w:rPr>
                <w:b w:val="0"/>
                <w:sz w:val="16"/>
              </w:rPr>
              <w:t>0.2788</w:t>
            </w:r>
          </w:p>
        </w:tc>
        <w:tc>
          <w:tcPr>
            <w:tcW w:type="dxa" w:w="1958"/>
            <w:vAlign w:val="center"/>
          </w:tcPr>
          <w:p>
            <w:pPr>
              <w:spacing w:after="0"/>
            </w:pPr>
            <w:r/>
            <w:r>
              <w:rPr>
                <w:b w:val="0"/>
                <w:sz w:val="16"/>
              </w:rPr>
              <w:t>6000</w:t>
            </w:r>
          </w:p>
        </w:tc>
      </w:tr>
    </w:tbl>
    <w:p>
      <w:pPr>
        <w:spacing w:after="40"/>
      </w:pPr>
    </w:p>
    <w:p>
      <w:r>
        <w:br w:type="page"/>
      </w:r>
    </w:p>
    <w:p>
      <w:r>
        <w:rPr>
          <w:b/>
        </w:rPr>
        <w:t xml:space="preserve">Table 4. </w:t>
      </w:r>
      <w: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p>
      <w:pPr>
        <w:spacing w:after="40"/>
      </w:pPr>
    </w:p>
    <w:p>
      <w:pPr>
        <w:jc w:val="center"/>
      </w:pPr>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943600" cy="3566160"/>
                    </a:xfrm>
                    <a:prstGeom prst="rect"/>
                  </pic:spPr>
                </pic:pic>
              </a:graphicData>
            </a:graphic>
          </wp:inline>
        </w:drawing>
      </w:r>
    </w:p>
    <w:p>
      <w:pPr>
        <w:jc w:val="center"/>
      </w:pPr>
      <w:r>
        <w:t>Figure 1. Leave-one-dataset-out performance.</w:t>
      </w:r>
    </w:p>
    <w:p>
      <w:pPr>
        <w:jc w:val="center"/>
      </w:pPr>
      <w:r>
        <w:drawing>
          <wp:inline xmlns:a="http://schemas.openxmlformats.org/drawingml/2006/main" xmlns:pic="http://schemas.openxmlformats.org/drawingml/2006/picture">
            <wp:extent cx="5943600" cy="3434080"/>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943600" cy="3434080"/>
                    </a:xfrm>
                    <a:prstGeom prst="rect"/>
                  </pic:spPr>
                </pic:pic>
              </a:graphicData>
            </a:graphic>
          </wp:inline>
        </w:drawing>
      </w:r>
    </w:p>
    <w:p>
      <w:pPr>
        <w:jc w:val="center"/>
      </w:pPr>
      <w:r>
        <w:t>Figure 2. Fusion minus expression RMSE across held-out folds.</w:t>
      </w:r>
    </w:p>
    <w:p>
      <w:pPr>
        <w:jc w:val="center"/>
      </w:pPr>
      <w:r>
        <w:drawing>
          <wp:inline xmlns:a="http://schemas.openxmlformats.org/drawingml/2006/main" xmlns:pic="http://schemas.openxmlformats.org/drawingml/2006/picture">
            <wp:extent cx="5943600" cy="1920240"/>
            <wp:docPr id="3" name="Picture 3"/>
            <wp:cNvGraphicFramePr>
              <a:graphicFrameLocks noChangeAspect="1"/>
            </wp:cNvGraphicFramePr>
            <a:graphic>
              <a:graphicData uri="http://schemas.openxmlformats.org/drawingml/2006/picture">
                <pic:pic>
                  <pic:nvPicPr>
                    <pic:cNvPr id="0" name="composite_validation.png"/>
                    <pic:cNvPicPr/>
                  </pic:nvPicPr>
                  <pic:blipFill>
                    <a:blip r:embed="rId11"/>
                    <a:stretch>
                      <a:fillRect/>
                    </a:stretch>
                  </pic:blipFill>
                  <pic:spPr>
                    <a:xfrm>
                      <a:off x="0" y="0"/>
                      <a:ext cx="5943600" cy="1920240"/>
                    </a:xfrm>
                    <a:prstGeom prst="rect"/>
                  </pic:spPr>
                </pic:pic>
              </a:graphicData>
            </a:graphic>
          </wp:inline>
        </w:drawing>
      </w:r>
    </w:p>
    <w:p>
      <w:pPr>
        <w:jc w:val="center"/>
      </w:pPr>
      <w:r>
        <w:t>Figure 3. Composite summary of transfer performance, signed fusion deltas, and structured modality availability.</w:t>
      </w:r>
    </w:p>
    <w:p>
      <w:pPr>
        <w:pStyle w:val="Heading1"/>
        <w:keepNext/>
      </w:pPr>
      <w:r>
        <w:t>4. Discussion</w:t>
      </w:r>
    </w:p>
    <w:p>
      <w:pPr>
        <w:spacing w:after="120" w:line="259" w:lineRule="auto"/>
      </w:pPr>
      <w:r>
        <w:t>The results do not support a universal multimodal advantage. Fusion can help within a drug-held-out universe yet fail under study transfer, consistent with domain-specific response scales, assay coverage, and feature distributions. This pattern is compatible with prior reports that multimodal integration can improve prediction under particular data and validation settings [5,8], while benchmarking work shows variation across algorithms, drugs, and transfer targets [9,10]. Our controlled comparison adds a more modest observation: the incremental fusion effect is small within the declared drug-held-out benchmark and reverses direction under source-dataset transfer. This does not refute multimodal modeling; it shows why a gain observed in one validation regime should not be generalized to another without direct testing. The study is limited by the small prespecified 15-drug universe, limited same-drug overlap across datasets, and the use of compact Ridge baselines rather than a broad model class.</w:t>
      </w:r>
    </w:p>
    <w:p>
      <w:pPr>
        <w:spacing w:after="120" w:line="259" w:lineRule="auto"/>
      </w:pPr>
      <w:r>
        <w:t>H1 was only partially supported: fusion improved the mean across five drug-heldout seeds, but the sign was favorable in three seeds and unfavorable in two. H2 was supported in this evaluation: fusion degraded performance in all three leave-one-dataset-out folds. H3 was supported descriptively because modality availability and row-level correlations differed across source tables, but the study does not identify a causal explanation. These findings argue for reporting effect size and transfer failures alongside the direction of the fusion comparison.</w:t>
      </w:r>
    </w:p>
    <w:p>
      <w:pPr>
        <w:spacing w:after="120" w:line="259" w:lineRule="auto"/>
      </w:pPr>
      <w:r>
        <w:t>The methodological implication is that validation design is part of the scientific claim. A random cell-line–drug split can estimate interpolation within an existing response system, whereas a drug-held-out split asks whether molecular features support prediction for compounds not represented in training. A leave-one-dataset-out split adds a different stress test: it asks whether the learned relationship survives a change in source, assay, and coverage. These estimands should not be conflated. Our study uses them sequentially to show that the answer to ‘does fusion help?’ depends on which generalization target is intended.</w:t>
      </w:r>
    </w:p>
    <w:p>
      <w:pPr>
        <w:spacing w:after="120" w:line="259" w:lineRule="auto"/>
      </w:pPr>
      <w:r>
        <w:t>The small size of the observed within-universe effect is itself informative for model development. The mean difference is much smaller than the variation in absolute RMSE across seeds, and the direction changes in two of five comparisons.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prespecified external test. Under the present evidence, expression remains a competitive reference and fusion is best treated as a candidate extension requiring further validation.</w:t>
      </w:r>
    </w:p>
    <w:p>
      <w:pPr>
        <w:spacing w:after="120" w:line="259" w:lineRule="auto"/>
      </w:pPr>
      <w: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pStyle w:val="Heading2"/>
        <w:keepNext/>
      </w:pPr>
      <w:r>
        <w:t>4.1. Interpretation of the within-dataset result</w:t>
      </w:r>
    </w:p>
    <w:p>
      <w:pPr>
        <w:spacing w:after="120" w:line="259" w:lineRule="auto"/>
      </w:pPr>
      <w:r>
        <w:t>The drug-held-out result is compatible with a limited benefit from complementary features when the training and test rows share a source-defined response system. Fusion improved the mean across five seeds, but only three of five seed-level comparisons favored fusion and the effect sizes were small relative to the absolute error. We therefore describe this result as uncertain, conditional evidence that fusion can be useful under a matched evaluation regime, not as evidence that fusion should replace a strong single-modality baseline.</w:t>
      </w:r>
    </w:p>
    <w:p>
      <w:pPr>
        <w:pStyle w:val="Heading2"/>
        <w:keepNext/>
      </w:pPr>
      <w:r>
        <w:t>4.2. Interpretation of cross-study degradation</w:t>
      </w:r>
    </w:p>
    <w:p>
      <w:pPr>
        <w:spacing w:after="120" w:line="259" w:lineRule="auto"/>
      </w:pPr>
      <w:r>
        <w:t>The consistent cross-study degradation is the most important cautionary result. It may reflect differences in assay design, response scaling, compound composition, cell-line coverage, molecular measurement, or feature distributions. The present benchmark does not separate these explanations. It does show that a model selected for within-universe performance can lose accuracy when the response source changes, which makes transfer validation necessary for claims about general-purpose multimodal prediction.</w:t>
      </w:r>
    </w:p>
    <w:p>
      <w:pPr>
        <w:pStyle w:val="Heading2"/>
        <w:keepNext/>
      </w:pPr>
      <w:r>
        <w:t>4.3. Missingness, redundancy, and model choice</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pStyle w:val="Heading2"/>
        <w:keepNext/>
      </w:pPr>
      <w:r>
        <w:t>4.4. Relation to prior multimodal work</w:t>
      </w:r>
    </w:p>
    <w:p>
      <w:pPr>
        <w:spacing w:after="120" w:line="259" w:lineRule="auto"/>
      </w:pPr>
      <w:r>
        <w:t>The findings do not contradict prior reports that multimodal integration can improve drug-response prediction under particular data and validation settings [4–6,8].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pStyle w:val="Heading2"/>
        <w:keepNext/>
      </w:pPr>
      <w:r>
        <w:t>4.5. Limitations and next experiments</w:t>
      </w:r>
    </w:p>
    <w:p>
      <w:pPr>
        <w:spacing w:after="120" w:line="259" w:lineRule="auto"/>
      </w:pPr>
      <w:r>
        <w:t>The principal limitations are the 15-compound evaluation universe, the limited overlap of identical drugs across datasets, the use of a fixed Ridge model, the descriptive per-drug audit with eight unique held-out compounds across repeated seed-specific cells, and the absence of prospective experimental validation. The modality set also excludes potentially informative assays such as proteomics, methylation, and lineage-aware representations. Future work should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Conclusion</w:t>
      </w:r>
    </w:p>
    <w:p>
      <w:pPr>
        <w:spacing w:after="120" w:line="259" w:lineRule="auto"/>
      </w:pPr>
      <w:r>
        <w:t>In this small, prespecified DepMap benchmark, adding copy-number and mutation blocks to expression produced a small mean improvement in drug-held-out prediction, but the direction changed across repeated splits and the improvement did not transfer to any of the three held-out source datasets. The result is therefore conditional rather than universal. The practical contribution is a reproducible comparison framework that makes the held-out entity, fold-local feature selection, structured availability, and transfer target explicit. Larger common-drug universes, external test sets, missingness-aware models, and alternative learners are needed before deciding whether the observed pattern generalizes beyond this Ridge-based construction.</w:t>
      </w:r>
    </w:p>
    <w:p>
      <w:pPr>
        <w:pStyle w:val="Heading1"/>
        <w:keepNext/>
      </w:pPr>
      <w:r>
        <w:t>6. Data and code availability</w:t>
      </w:r>
    </w:p>
    <w:p>
      <w:pPr>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Heading1"/>
        <w:keepNext/>
      </w:pPr>
      <w:r>
        <w:t>7.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t>[8] Kuenzi BM, et al. Predicting drug response and synergy using a deep learning model of human cancer cells. Cancer Cell. 2020;38:672–684.e6. doi:10.1016/j.ccell.2020.09.014.</w:t>
      </w:r>
    </w:p>
    <w:p>
      <w:r>
        <w:t>[9] Chawla S, Rockstroh A, Lehman M, et al. Gene expression based inference of cancer drug sensitivity. Nat Commun. 2022;13:5680. doi:10.1038/s41467-022-33291-z.</w:t>
      </w:r>
    </w:p>
    <w:p>
      <w:r>
        <w:t>[10] Baptista D, Ferreira PG, Rocha M. Deep learning for drug response prediction in cancer. Brief Bioinform. 2023;24:bbac605. doi:10.1093/bib/bbac605.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r>
        <w:rPr>
          <w:b/>
        </w:rPr>
        <w:t xml:space="preserve">Table 5.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r>
        <w:rPr>
          <w:b/>
        </w:rPr>
        <w:t xml:space="preserve">Table 6.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in 3 of 5 drug-heldout seeds</w:t>
            </w:r>
          </w:p>
        </w:tc>
        <w:tc>
          <w:tcPr>
            <w:tcW w:type="dxa" w:w="3264"/>
            <w:vAlign w:val="center"/>
          </w:tcPr>
          <w:p>
            <w:pPr>
              <w:spacing w:after="0"/>
            </w:pPr>
            <w:r/>
            <w:r>
              <w:rPr>
                <w:b w:val="0"/>
                <w:sz w:val="16"/>
              </w:rPr>
              <w:t>Small 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prespecified universe</w:t>
            </w:r>
          </w:p>
        </w:tc>
        <w:tc>
          <w:tcPr>
            <w:tcW w:type="dxa" w:w="3264"/>
            <w:vAlign w:val="center"/>
          </w:tcPr>
          <w:p>
            <w:pPr>
              <w:spacing w:after="0"/>
            </w:pPr>
            <w:r/>
            <w:r>
              <w:rPr>
                <w:b w:val="0"/>
                <w:sz w:val="16"/>
              </w:rPr>
              <w:t>Generalization to all compounds</w:t>
            </w:r>
          </w:p>
        </w:tc>
      </w:tr>
    </w:tbl>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rPr>
          <w:b/>
        </w:rPr>
        <w:t xml:space="preserve">Table 7.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spacing w:after="40"/>
      </w:pPr>
    </w:p>
    <w:p>
      <w:r>
        <w:br w:type="page"/>
      </w:r>
    </w:p>
    <w:p>
      <w:pPr>
        <w:pStyle w:val="Heading1"/>
        <w:keepNext/>
      </w:pPr>
      <w:r>
        <w:t>Supplementary material</w:t>
      </w:r>
    </w:p>
    <w:p>
      <w:pPr>
        <w:spacing w:after="120" w:line="259" w:lineRule="auto"/>
      </w:pPr>
      <w:r>
        <w:t>Supplementary Table S1 reports the complete/missing test-row counts for the initial three-seed missingness audit; the five-seed performance benchmark is reported separately in the frozen result tables. Supplementary Table S2 records the frozen artifact and validation scope. Figures are supplied separately in the submission package.</w:t>
      </w:r>
    </w:p>
    <w:p>
      <w:r>
        <w:rPr>
          <w:b/>
        </w:rPr>
        <w:t xml:space="preserve">Supplementary Table S1.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S2.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prespecified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5 persisted seeds; fold-local top-2,000 features from full raw modality universes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CTD2,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