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[ADD EMAIL]</w:t>
      </w:r>
    </w:p>
    <w:p/>
    <w:p>
      <w:r>
        <w:rPr>
          <w:b/>
        </w:rPr>
        <w:t xml:space="preserve">Article type: </w:t>
      </w:r>
      <w:r>
        <w:t>Research article</w:t>
      </w:r>
    </w:p>
    <w:p>
      <w:r>
        <w:rPr>
          <w:b/>
        </w:rPr>
        <w:t xml:space="preserve">Declarations: </w:t>
      </w:r>
      <w:r>
        <w:t>Funding, competing interests, CRediT, and generative-AI declaration to be completed before submission.</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was split-sensitive: fusion improved two of three seeds and worsened slightly on one. The mean RMSE across seeds was 0.2005 for fusion versus 0.2063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0.3276</w:t>
            </w:r>
          </w:p>
        </w:tc>
        <w:tc>
          <w:tcPr>
            <w:tcW w:type="dxa" w:w="1958"/>
            <w:vAlign w:val="center"/>
          </w:tcPr>
          <w:p>
            <w:pPr>
              <w:spacing w:after="0"/>
            </w:pPr>
            <w:r/>
            <w:r>
              <w:rPr>
                <w:b w:val="0"/>
                <w:sz w:val="16"/>
              </w:rPr>
              <w:t>0.3575</w:t>
            </w:r>
          </w:p>
        </w:tc>
        <w:tc>
          <w:tcPr>
            <w:tcW w:type="dxa" w:w="1958"/>
            <w:vAlign w:val="center"/>
          </w:tcPr>
          <w:p>
            <w:pPr>
              <w:spacing w:after="0"/>
            </w:pPr>
            <w:r/>
            <w:r>
              <w:rPr>
                <w:b w:val="0"/>
                <w:sz w:val="16"/>
              </w:rPr>
              <w:t>0.4048</w:t>
            </w:r>
          </w:p>
        </w:tc>
        <w:tc>
          <w:tcPr>
            <w:tcW w:type="dxa" w:w="1958"/>
            <w:vAlign w:val="center"/>
          </w:tcPr>
          <w:p>
            <w:pPr>
              <w:spacing w:after="0"/>
            </w:pPr>
            <w:r/>
            <w:r>
              <w:rPr>
                <w:b w:val="0"/>
                <w:sz w:val="16"/>
              </w:rPr>
              <w:t>0.5649</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0.2585</w:t>
            </w:r>
          </w:p>
        </w:tc>
        <w:tc>
          <w:tcPr>
            <w:tcW w:type="dxa" w:w="1958"/>
            <w:vAlign w:val="center"/>
          </w:tcPr>
          <w:p>
            <w:pPr>
              <w:spacing w:after="0"/>
            </w:pPr>
            <w:r/>
            <w:r>
              <w:rPr>
                <w:b w:val="0"/>
                <w:sz w:val="16"/>
              </w:rPr>
              <w:t>0.4121</w:t>
            </w:r>
          </w:p>
        </w:tc>
        <w:tc>
          <w:tcPr>
            <w:tcW w:type="dxa" w:w="1958"/>
            <w:vAlign w:val="center"/>
          </w:tcPr>
          <w:p>
            <w:pPr>
              <w:spacing w:after="0"/>
            </w:pPr>
            <w:r/>
            <w:r>
              <w:rPr>
                <w:b w:val="0"/>
                <w:sz w:val="16"/>
              </w:rPr>
              <w:t>0.5062</w:t>
            </w:r>
          </w:p>
        </w:tc>
        <w:tc>
          <w:tcPr>
            <w:tcW w:type="dxa" w:w="1958"/>
            <w:vAlign w:val="center"/>
          </w:tcPr>
          <w:p>
            <w:pPr>
              <w:spacing w:after="0"/>
            </w:pPr>
            <w:r/>
            <w:r>
              <w:rPr>
                <w:b w:val="0"/>
                <w:sz w:val="16"/>
              </w:rPr>
              <w:t>0.3101</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0.2291</w:t>
            </w:r>
          </w:p>
        </w:tc>
        <w:tc>
          <w:tcPr>
            <w:tcW w:type="dxa" w:w="1958"/>
            <w:vAlign w:val="center"/>
          </w:tcPr>
          <w:p>
            <w:pPr>
              <w:spacing w:after="0"/>
            </w:pPr>
            <w:r/>
            <w:r>
              <w:rPr>
                <w:b w:val="0"/>
                <w:sz w:val="16"/>
              </w:rPr>
              <w:t>0.4935</w:t>
            </w:r>
          </w:p>
        </w:tc>
        <w:tc>
          <w:tcPr>
            <w:tcW w:type="dxa" w:w="1958"/>
            <w:vAlign w:val="center"/>
          </w:tcPr>
          <w:p>
            <w:pPr>
              <w:spacing w:after="0"/>
            </w:pPr>
            <w:r/>
            <w:r>
              <w:rPr>
                <w:b w:val="0"/>
                <w:sz w:val="16"/>
              </w:rPr>
              <w:t>0.6469</w:t>
            </w:r>
          </w:p>
        </w:tc>
        <w:tc>
          <w:tcPr>
            <w:tcW w:type="dxa" w:w="1958"/>
            <w:vAlign w:val="center"/>
          </w:tcPr>
          <w:p>
            <w:pPr>
              <w:spacing w:after="0"/>
            </w:pPr>
            <w:r/>
            <w:r>
              <w:rPr>
                <w:b w:val="0"/>
                <w:sz w:val="16"/>
              </w:rPr>
              <w:t>0.2870</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0.1481</w:t>
            </w:r>
          </w:p>
        </w:tc>
        <w:tc>
          <w:tcPr>
            <w:tcW w:type="dxa" w:w="2448"/>
            <w:vAlign w:val="center"/>
          </w:tcPr>
          <w:p>
            <w:pPr>
              <w:spacing w:after="0"/>
            </w:pPr>
            <w:r/>
            <w:r>
              <w:rPr>
                <w:b w:val="0"/>
                <w:sz w:val="16"/>
              </w:rPr>
              <w:t>0.1326</w:t>
            </w:r>
          </w:p>
        </w:tc>
        <w:tc>
          <w:tcPr>
            <w:tcW w:type="dxa" w:w="2448"/>
            <w:vAlign w:val="center"/>
          </w:tcPr>
          <w:p>
            <w:pPr>
              <w:spacing w:after="0"/>
            </w:pPr>
            <w:r/>
            <w:r>
              <w:rPr>
                <w:b w:val="0"/>
                <w:sz w:val="16"/>
              </w:rPr>
              <w:t>-0.0155</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0.2174</w:t>
            </w:r>
          </w:p>
        </w:tc>
        <w:tc>
          <w:tcPr>
            <w:tcW w:type="dxa" w:w="2448"/>
            <w:vAlign w:val="center"/>
          </w:tcPr>
          <w:p>
            <w:pPr>
              <w:spacing w:after="0"/>
            </w:pPr>
            <w:r/>
            <w:r>
              <w:rPr>
                <w:b w:val="0"/>
                <w:sz w:val="16"/>
              </w:rPr>
              <w:t>0.2148</w:t>
            </w:r>
          </w:p>
        </w:tc>
        <w:tc>
          <w:tcPr>
            <w:tcW w:type="dxa" w:w="2448"/>
            <w:vAlign w:val="center"/>
          </w:tcPr>
          <w:p>
            <w:pPr>
              <w:spacing w:after="0"/>
            </w:pPr>
            <w:r/>
            <w:r>
              <w:rPr>
                <w:b w:val="0"/>
                <w:sz w:val="16"/>
              </w:rPr>
              <w:t>-0.0026</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0.2535</w:t>
            </w:r>
          </w:p>
        </w:tc>
        <w:tc>
          <w:tcPr>
            <w:tcW w:type="dxa" w:w="2448"/>
            <w:vAlign w:val="center"/>
          </w:tcPr>
          <w:p>
            <w:pPr>
              <w:spacing w:after="0"/>
            </w:pPr>
            <w:r/>
            <w:r>
              <w:rPr>
                <w:b w:val="0"/>
                <w:sz w:val="16"/>
              </w:rPr>
              <w:t>0.2542</w:t>
            </w:r>
          </w:p>
        </w:tc>
        <w:tc>
          <w:tcPr>
            <w:tcW w:type="dxa" w:w="2448"/>
            <w:vAlign w:val="center"/>
          </w:tcPr>
          <w:p>
            <w:pPr>
              <w:spacing w:after="0"/>
            </w:pPr>
            <w:r/>
            <w:r>
              <w:rPr>
                <w:b w:val="0"/>
                <w:sz w:val="16"/>
              </w:rPr>
              <w:t>+0.0007</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0.1179</w:t>
            </w:r>
          </w:p>
        </w:tc>
        <w:tc>
          <w:tcPr>
            <w:tcW w:type="dxa" w:w="1958"/>
            <w:vAlign w:val="center"/>
          </w:tcPr>
          <w:p>
            <w:pPr>
              <w:spacing w:after="0"/>
            </w:pPr>
            <w:r/>
            <w:r>
              <w:rPr>
                <w:b w:val="0"/>
                <w:sz w:val="16"/>
              </w:rPr>
              <w:t>0.1481</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0.1277</w:t>
            </w:r>
          </w:p>
        </w:tc>
        <w:tc>
          <w:tcPr>
            <w:tcW w:type="dxa" w:w="1958"/>
            <w:vAlign w:val="center"/>
          </w:tcPr>
          <w:p>
            <w:pPr>
              <w:spacing w:after="0"/>
            </w:pPr>
            <w:r/>
            <w:r>
              <w:rPr>
                <w:b w:val="0"/>
                <w:sz w:val="16"/>
              </w:rPr>
              <w:t>0.1593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0.1146</w:t>
            </w:r>
          </w:p>
        </w:tc>
        <w:tc>
          <w:tcPr>
            <w:tcW w:type="dxa" w:w="1958"/>
            <w:vAlign w:val="center"/>
          </w:tcPr>
          <w:p>
            <w:pPr>
              <w:spacing w:after="0"/>
            </w:pPr>
            <w:r/>
            <w:r>
              <w:rPr>
                <w:b w:val="0"/>
                <w:sz w:val="16"/>
              </w:rPr>
              <w:t>0.1435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0.1047</w:t>
            </w:r>
          </w:p>
        </w:tc>
        <w:tc>
          <w:tcPr>
            <w:tcW w:type="dxa" w:w="1958"/>
            <w:vAlign w:val="center"/>
          </w:tcPr>
          <w:p>
            <w:pPr>
              <w:spacing w:after="0"/>
            </w:pPr>
            <w:r/>
            <w:r>
              <w:rPr>
                <w:b w:val="0"/>
                <w:sz w:val="16"/>
              </w:rPr>
              <w:t>0.1326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0.1865</w:t>
            </w:r>
          </w:p>
        </w:tc>
        <w:tc>
          <w:tcPr>
            <w:tcW w:type="dxa" w:w="1958"/>
            <w:vAlign w:val="center"/>
          </w:tcPr>
          <w:p>
            <w:pPr>
              <w:spacing w:after="0"/>
            </w:pPr>
            <w:r/>
            <w:r>
              <w:rPr>
                <w:b w:val="0"/>
                <w:sz w:val="16"/>
              </w:rPr>
              <w:t>0.2174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0.2015</w:t>
            </w:r>
          </w:p>
        </w:tc>
        <w:tc>
          <w:tcPr>
            <w:tcW w:type="dxa" w:w="1958"/>
            <w:vAlign w:val="center"/>
          </w:tcPr>
          <w:p>
            <w:pPr>
              <w:spacing w:after="0"/>
            </w:pPr>
            <w:r/>
            <w:r>
              <w:rPr>
                <w:b w:val="0"/>
                <w:sz w:val="16"/>
              </w:rPr>
              <w:t>0.2333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0.1897</w:t>
            </w:r>
          </w:p>
        </w:tc>
        <w:tc>
          <w:tcPr>
            <w:tcW w:type="dxa" w:w="1958"/>
            <w:vAlign w:val="center"/>
          </w:tcPr>
          <w:p>
            <w:pPr>
              <w:spacing w:after="0"/>
            </w:pPr>
            <w:r/>
            <w:r>
              <w:rPr>
                <w:b w:val="0"/>
                <w:sz w:val="16"/>
              </w:rPr>
              <w:t>0.2241</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0.1786</w:t>
            </w:r>
          </w:p>
        </w:tc>
        <w:tc>
          <w:tcPr>
            <w:tcW w:type="dxa" w:w="1958"/>
            <w:vAlign w:val="center"/>
          </w:tcPr>
          <w:p>
            <w:pPr>
              <w:spacing w:after="0"/>
            </w:pPr>
            <w:r/>
            <w:r>
              <w:rPr>
                <w:b w:val="0"/>
                <w:sz w:val="16"/>
              </w:rPr>
              <w:t>0.2148</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0.2001</w:t>
            </w:r>
          </w:p>
        </w:tc>
        <w:tc>
          <w:tcPr>
            <w:tcW w:type="dxa" w:w="1958"/>
            <w:vAlign w:val="center"/>
          </w:tcPr>
          <w:p>
            <w:pPr>
              <w:spacing w:after="0"/>
            </w:pPr>
            <w:r/>
            <w:r>
              <w:rPr>
                <w:b w:val="0"/>
                <w:sz w:val="16"/>
              </w:rPr>
              <w:t>0.2535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0.1985</w:t>
            </w:r>
          </w:p>
        </w:tc>
        <w:tc>
          <w:tcPr>
            <w:tcW w:type="dxa" w:w="1958"/>
            <w:vAlign w:val="center"/>
          </w:tcPr>
          <w:p>
            <w:pPr>
              <w:spacing w:after="0"/>
            </w:pPr>
            <w:r/>
            <w:r>
              <w:rPr>
                <w:b w:val="0"/>
                <w:sz w:val="16"/>
              </w:rPr>
              <w:t>0.2477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0.1928</w:t>
            </w:r>
          </w:p>
        </w:tc>
        <w:tc>
          <w:tcPr>
            <w:tcW w:type="dxa" w:w="1958"/>
            <w:vAlign w:val="center"/>
          </w:tcPr>
          <w:p>
            <w:pPr>
              <w:spacing w:after="0"/>
            </w:pPr>
            <w:r/>
            <w:r>
              <w:rPr>
                <w:b w:val="0"/>
                <w:sz w:val="16"/>
              </w:rPr>
              <w:t>0.2446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0.1984</w:t>
            </w:r>
          </w:p>
        </w:tc>
        <w:tc>
          <w:tcPr>
            <w:tcW w:type="dxa" w:w="1958"/>
            <w:vAlign w:val="center"/>
          </w:tcPr>
          <w:p>
            <w:pPr>
              <w:spacing w:after="0"/>
            </w:pPr>
            <w:r/>
            <w:r>
              <w:rPr>
                <w:b w:val="0"/>
                <w:sz w:val="16"/>
              </w:rPr>
              <w:t>0.2542</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0.2793</w:t>
            </w:r>
          </w:p>
        </w:tc>
        <w:tc>
          <w:tcPr>
            <w:tcW w:type="dxa" w:w="1632"/>
            <w:vAlign w:val="center"/>
          </w:tcPr>
          <w:p>
            <w:pPr>
              <w:spacing w:after="0"/>
            </w:pPr>
            <w:r/>
            <w:r>
              <w:rPr>
                <w:b w:val="0"/>
                <w:sz w:val="16"/>
              </w:rPr>
              <w:t>0.3276</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0.2964</w:t>
            </w:r>
          </w:p>
        </w:tc>
        <w:tc>
          <w:tcPr>
            <w:tcW w:type="dxa" w:w="1632"/>
            <w:vAlign w:val="center"/>
          </w:tcPr>
          <w:p>
            <w:pPr>
              <w:spacing w:after="0"/>
            </w:pPr>
            <w:r/>
            <w:r>
              <w:rPr>
                <w:b w:val="0"/>
                <w:sz w:val="16"/>
              </w:rPr>
              <w:t>0.3575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0.3150</w:t>
            </w:r>
          </w:p>
        </w:tc>
        <w:tc>
          <w:tcPr>
            <w:tcW w:type="dxa" w:w="1632"/>
            <w:vAlign w:val="center"/>
          </w:tcPr>
          <w:p>
            <w:pPr>
              <w:spacing w:after="0"/>
            </w:pPr>
            <w:r/>
            <w:r>
              <w:rPr>
                <w:b w:val="0"/>
                <w:sz w:val="16"/>
              </w:rPr>
              <w:t>0.4048</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0.4306</w:t>
            </w:r>
          </w:p>
        </w:tc>
        <w:tc>
          <w:tcPr>
            <w:tcW w:type="dxa" w:w="1632"/>
            <w:vAlign w:val="center"/>
          </w:tcPr>
          <w:p>
            <w:pPr>
              <w:spacing w:after="0"/>
            </w:pPr>
            <w:r/>
            <w:r>
              <w:rPr>
                <w:b w:val="0"/>
                <w:sz w:val="16"/>
              </w:rPr>
              <w:t>0.5649</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0.2140</w:t>
            </w:r>
          </w:p>
        </w:tc>
        <w:tc>
          <w:tcPr>
            <w:tcW w:type="dxa" w:w="1632"/>
            <w:vAlign w:val="center"/>
          </w:tcPr>
          <w:p>
            <w:pPr>
              <w:spacing w:after="0"/>
            </w:pPr>
            <w:r/>
            <w:r>
              <w:rPr>
                <w:b w:val="0"/>
                <w:sz w:val="16"/>
              </w:rPr>
              <w:t>0.2585</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0.2846</w:t>
            </w:r>
          </w:p>
        </w:tc>
        <w:tc>
          <w:tcPr>
            <w:tcW w:type="dxa" w:w="1632"/>
            <w:vAlign w:val="center"/>
          </w:tcPr>
          <w:p>
            <w:pPr>
              <w:spacing w:after="0"/>
            </w:pPr>
            <w:r/>
            <w:r>
              <w:rPr>
                <w:b w:val="0"/>
                <w:sz w:val="16"/>
              </w:rPr>
              <w:t>0.4121</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0.3340</w:t>
            </w:r>
          </w:p>
        </w:tc>
        <w:tc>
          <w:tcPr>
            <w:tcW w:type="dxa" w:w="1632"/>
            <w:vAlign w:val="center"/>
          </w:tcPr>
          <w:p>
            <w:pPr>
              <w:spacing w:after="0"/>
            </w:pPr>
            <w:r/>
            <w:r>
              <w:rPr>
                <w:b w:val="0"/>
                <w:sz w:val="16"/>
              </w:rPr>
              <w:t>0.5062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0.2503</w:t>
            </w:r>
          </w:p>
        </w:tc>
        <w:tc>
          <w:tcPr>
            <w:tcW w:type="dxa" w:w="1632"/>
            <w:vAlign w:val="center"/>
          </w:tcPr>
          <w:p>
            <w:pPr>
              <w:spacing w:after="0"/>
            </w:pPr>
            <w:r/>
            <w:r>
              <w:rPr>
                <w:b w:val="0"/>
                <w:sz w:val="16"/>
              </w:rPr>
              <w:t>0.3101</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0.1909</w:t>
            </w:r>
          </w:p>
        </w:tc>
        <w:tc>
          <w:tcPr>
            <w:tcW w:type="dxa" w:w="1632"/>
            <w:vAlign w:val="center"/>
          </w:tcPr>
          <w:p>
            <w:pPr>
              <w:spacing w:after="0"/>
            </w:pPr>
            <w:r/>
            <w:r>
              <w:rPr>
                <w:b w:val="0"/>
                <w:sz w:val="16"/>
              </w:rPr>
              <w:t>0.2291</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0.3432</w:t>
            </w:r>
          </w:p>
        </w:tc>
        <w:tc>
          <w:tcPr>
            <w:tcW w:type="dxa" w:w="1632"/>
            <w:vAlign w:val="center"/>
          </w:tcPr>
          <w:p>
            <w:pPr>
              <w:spacing w:after="0"/>
            </w:pPr>
            <w:r/>
            <w:r>
              <w:rPr>
                <w:b w:val="0"/>
                <w:sz w:val="16"/>
              </w:rPr>
              <w:t>0.4935</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0.3973</w:t>
            </w:r>
          </w:p>
        </w:tc>
        <w:tc>
          <w:tcPr>
            <w:tcW w:type="dxa" w:w="1632"/>
            <w:vAlign w:val="center"/>
          </w:tcPr>
          <w:p>
            <w:pPr>
              <w:spacing w:after="0"/>
            </w:pPr>
            <w:r/>
            <w:r>
              <w:rPr>
                <w:b w:val="0"/>
                <w:sz w:val="16"/>
              </w:rPr>
              <w:t>0.6469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0.2306</w:t>
            </w:r>
          </w:p>
        </w:tc>
        <w:tc>
          <w:tcPr>
            <w:tcW w:type="dxa" w:w="1632"/>
            <w:vAlign w:val="center"/>
          </w:tcPr>
          <w:p>
            <w:pPr>
              <w:spacing w:after="0"/>
            </w:pPr>
            <w:r/>
            <w:r>
              <w:rPr>
                <w:b w:val="0"/>
                <w:sz w:val="16"/>
              </w:rPr>
              <w:t>0.2870</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spacing w:after="120" w:line="259" w:lineRule="auto"/>
      </w:pPr>
      <w:r>
        <w:t>H1 was partially supported: fusion improved two of three drug-heldout seeds, but the effect was small and split-sensitive.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fusion failures alongside gains and for treating cross-study validation as a separate target from within-dataset drug generalization.</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The improvement is small relative to the seed-to-seed variation, and two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2/3 drug-heldout seeds</w:t>
            </w:r>
          </w:p>
        </w:tc>
        <w:tc>
          <w:tcPr>
            <w:tcW w:type="dxa" w:w="3264"/>
            <w:vAlign w:val="center"/>
          </w:tcPr>
          <w:p>
            <w:pPr>
              <w:spacing w:after="0"/>
            </w:pPr>
            <w:r/>
            <w:r>
              <w:rPr>
                <w:b w:val="0"/>
                <w:sz w:val="16"/>
              </w:rPr>
              <w:t>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