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When More Omics Is Not Always Better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 = 1.0. Fusion concatenates the three selected modality blocks (6,000 features).</w:t>
      </w:r>
    </w:p>
    <w:p>
      <w:pPr>
        <w:spacing w:after="120" w:line="252" w:lineRule="auto"/>
      </w:pPr>
      <w:r>
        <w:t>Supplementary Table S1. Declared compound universe and source-specific response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Compound identifier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Response rows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Cell lines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 RIBONUCLEOTIDE (GDSC1:1001)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912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 (GDSC1:374)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 (GDSC1:342)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 (GDSC1:264)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 (GDSC1:363)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 (GDSC2:1862)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 (GDSC2:1053)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 (GDSC2:1011)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 (GDSC2:1058)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945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 (GDSC2:1034)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783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 B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790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785</w:t>
            </w:r>
          </w:p>
        </w:tc>
      </w:tr>
    </w:tbl>
    <w:p/>
    <w:p>
      <w:pPr>
        <w:spacing w:after="120" w:line="252" w:lineRule="auto"/>
      </w:pPr>
      <w:r>
        <w:t>Drug-held-out splits use GroupShuffleSplit with drug_id_raw as the grouping variable, test fraction 0.2, and persisted seeds 20260821 through 20260825. Leave-one-dataset-out folds hold out CTD²,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full_universe_drug_split_20260824.json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full_universe_drug_split_20260825.json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0.1398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0.2620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0.1955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0.1991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0.3325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Expr–Mut.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</w:tbl>
    <w:p/>
    <w:p>
      <w:pPr>
        <w:pStyle w:val="Heading1"/>
        <w:keepNext/>
      </w:pPr>
      <w:r>
        <w:t>S6. Exploratory uncertainty calibration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drug-held-out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repeated-seed metrics, mean baseline, and per-drug diagnostics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data/processed/full_universe_secondary_summary.json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Secondary 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LOOD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outputs/figures/composite_validation.png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summary figure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scripts/generate_composite_figure.py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figure generator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drug-held-out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scripts/run_full_universe_lood.py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scripts/summarize_secondary_benchmark.py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declared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