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prespecified evaluation universe contained 15 compounds from GDSC1, GDSC2, and CTD². Models used fold-local feature selection and Ridge regression, with drug-held-out and leave-one-dataset-out validation. In drug-held-out validation, fusion improved RMSE on two of three repeated splits, with mean RMSE 0.2005 versus 0.2063 for expression alone. In cross-study validation, fusion degraded RMSE on all three held-out datasets: CTD2 0.5649 versus 0.3276, GDSC1 0.3101 versus 0.2585, and GDSC2 0.2870 versus 0.2291. Structured missingness and weak-to-moderate row-level modality correlations indicate that additional modalities can introduce incomplete observations and domain-sensitive signal.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Large cell-line resources established the empirical basis for this task. The Cancer Cell Line Encyclopedia and the Genomics of Drug Sensitivity in Cancer linked molecular profiles to pharmacologic response across large panels, while later DepMap releases expanded standardized molecular and dependency data [1–3]. These resources also show why response prediction is not purely a genomic problem: lineage and multiple molecular data types contribute to drug sensitivity associations [2].</w:t>
      </w:r>
    </w:p>
    <w:p>
      <w:pPr>
        <w:spacing w:after="120" w:line="259" w:lineRule="auto"/>
      </w:pPr>
      <w:r>
        <w:t>Prior computational work has used classical machine learning, deep learning, and multimodal integration for drug-response prediction [4–6]. MOLI is a prominent late-integration example that combines expression, copy-number, and mutation features and reported gains in external validations [5]. However, published comparisons often differ in response metric, drug universe, feature processing, split design, and external-study transfer. The present study addresses a narrower methodological question: whether adding modalities improves a fixed, leakage-controlled baseline under drug-heldout and cross-study evaluation. It is intended as a validation benchmark, not as a competing deep-learning model.</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locked release identifiers. Expression, copy-number, and damaging-mutation features were evaluated separately and in concatenated fusion models. Within each held-out fold, the top 2,000 features per modality were selected using training rows only. Models used median imputation, standardization, and Ridge regression.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prespecified cross-dataset subset, not the complete drug universe available in any one portal release.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Three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1"/>
        <w:keepNext/>
      </w:pPr>
      <w:r>
        <w:t>3. Results</w:t>
      </w:r>
    </w:p>
    <w:p>
      <w:pPr>
        <w:pStyle w:val="Heading2"/>
        <w:keepNext/>
      </w:pPr>
      <w:r>
        <w:t>3.1. Drug-heldout validation</w:t>
      </w:r>
    </w:p>
    <w:p>
      <w:pPr>
        <w:spacing w:after="120" w:line="259" w:lineRule="auto"/>
      </w:pPr>
      <w:r>
        <w:t>Drug-held-out performance showed a small improvement in all three full-universe splits. The mean RMSE across seeds was 0.2175 for fusion versus 0.2188 for expression alone; this arithmetic mean is not a pooled observation-level RMSE and should not be interpreted as a universal gain. Per-seed and per-model values are reported in Table 2 and Supplementary Table S3.</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The study is limited by the small prespecified 15-drug universe, limited same-drug overlap across datasets, and the use of compact Ridge baselines rather than a broad model class. The conclusions are therefore about evaluation design and conditional predictive value, not a claim that any modality is biologically uninformative.</w:t>
      </w:r>
    </w:p>
    <w:p>
      <w:pPr>
        <w:spacing w:after="120" w:line="259" w:lineRule="auto"/>
      </w:pPr>
      <w:r>
        <w:t>H1 was supported in the full-universe drug-heldout benchmark, although the improvement was small in every seed.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The improvement is small relative to the seed-to-seed variation, and two favorable splits do not establish a stable effect across an expanded compound universe. We therefore describe this result as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6.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three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2/3 drug-heldout seeds</w:t>
            </w:r>
          </w:p>
        </w:tc>
        <w:tc>
          <w:tcPr>
            <w:tcW w:type="dxa" w:w="3264"/>
            <w:vAlign w:val="center"/>
          </w:tcPr>
          <w:p>
            <w:pPr>
              <w:spacing w:after="0"/>
            </w:pPr>
            <w:r/>
            <w:r>
              <w:rPr>
                <w:b w:val="0"/>
                <w:sz w:val="16"/>
              </w:rPr>
              <w:t>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prespecified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complete/missing test-row counts for the three drug-heldout seeds.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prespecified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3 persisted seeds; fold-local top-2,000 features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