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40"/>
        </w:rPr>
        <w:t>When More Omics Is Not Always Better: Drug- and Dataset-Conditional Value of Multimodal Cancer Pharmacogenomics</w:t>
      </w:r>
    </w:p>
    <w:p>
      <w:pPr>
        <w:jc w:val="center"/>
      </w:pPr>
      <w:r>
        <w:rPr>
          <w:b/>
        </w:rPr>
        <w:t>Author information withheld for review</w:t>
        <w:br/>
      </w:r>
      <w:r>
        <w:t>Affiliation withheld for review</w:t>
        <w:br/>
        <w:t>Location withheld for review</w:t>
        <w:br/>
        <w:t>Corresponding author: email withheld for review</w:t>
      </w:r>
    </w:p>
    <w:p/>
    <w:p>
      <w:r>
        <w:rPr>
          <w:b/>
        </w:rPr>
        <w:t xml:space="preserve">Article type: </w:t>
      </w:r>
      <w:r>
        <w:t>Research article</w:t>
      </w:r>
    </w:p>
    <w:p>
      <w:r>
        <w:rPr>
          <w:b/>
        </w:rPr>
        <w:t xml:space="preserve">Declarations: </w:t>
      </w:r>
      <w:r>
        <w:t>No external funding. The author declares no competing interests. CRediT: Author information withheld for review—Conceptualization, Methodology, Software, Validation, Formal analysis, Investigation, Data curation, Writing, Visualization, and Project administration. Generative AI tools assisted with language editing, document formatting, and coding under author review; the author verified the final content.</w:t>
      </w:r>
    </w:p>
    <w:p>
      <w:r/>
    </w:p>
    <w:p>
      <w:pPr>
        <w:pStyle w:val="Heading1"/>
        <w:keepNext/>
      </w:pPr>
      <w:r>
        <w:t>Abstract</w:t>
      </w:r>
    </w:p>
    <w:p>
      <w:pPr>
        <w:spacing w:after="120" w:line="259" w:lineRule="auto"/>
      </w:pPr>
      <w:r>
        <w:t>Multimodal molecular profiles are often assumed to improve cancer drug-response prediction simply by adding information. We developed an evidence-bounded DepMap workflow to test that assumption across expression, copy-number, and mutation features. The prespecified evaluation universe contained 15 compounds from GDSC1, GDSC2, and CTD². Models used fold-local feature selection and Ridge regression, with drug-held-out and leave-one-dataset-out validation. In drug-held-out validation, fusion improved RMSE on two of three repeated splits, with mean RMSE 0.2005 versus 0.2063 for expression alone. In cross-study validation, fusion degraded RMSE on all three held-out datasets: CTD2 0.5649 versus 0.3276, GDSC1 0.3101 versus 0.2585, and GDSC2 0.2870 versus 0.2291. Structured missingness and weak-to-moderate row-level modality correlations indicate that additional modalities can introduce incomplete observations and domain-sensitive signal. These findings support evaluating multimodal models by incremental value, transferability, and failure modes rather than assuming that more omics is always better.</w:t>
      </w:r>
    </w:p>
    <w:p>
      <w:r>
        <w:rPr>
          <w:b/>
        </w:rPr>
        <w:t xml:space="preserve">Keywords: </w:t>
      </w:r>
      <w:r>
        <w:t>information fusion; drug response; multi-omics; cancer; missing data; cross-study validation</w:t>
      </w:r>
    </w:p>
    <w:p>
      <w:pPr>
        <w:pStyle w:val="Heading1"/>
        <w:keepNext/>
      </w:pPr>
      <w:r>
        <w:t>1. Introduction</w:t>
      </w:r>
    </w:p>
    <w:p>
      <w:pPr>
        <w:spacing w:after="120" w:line="259" w:lineRule="auto"/>
      </w:pPr>
      <w:r>
        <w:t>Cancer pharmacogenomics increasingly combines multiple molecular assays to predict drug response. More measurements can capture complementary biology, but they also increase dimensionality, missingness, and sensitivity to study-specific measurement processes. We therefore specified a workflow that treats incremental predictive value, missingness, and modality conflict as joint evaluation targets.</w:t>
      </w:r>
    </w:p>
    <w:p>
      <w:pPr>
        <w:pStyle w:val="Heading2"/>
        <w:keepNext/>
      </w:pPr>
      <w:r>
        <w:t>1.1. Brief literature context</w:t>
      </w:r>
    </w:p>
    <w:p>
      <w:pPr>
        <w:spacing w:after="120" w:line="259" w:lineRule="auto"/>
      </w:pPr>
      <w:r>
        <w:t>Large cell-line resources established the empirical basis for this task. The Cancer Cell Line Encyclopedia and the Genomics of Drug Sensitivity in Cancer linked molecular profiles to pharmacologic response across large panels, while later DepMap releases expanded standardized molecular and dependency data [1–3]. These resources also show why response prediction is not purely a genomic problem: lineage and multiple molecular data types contribute to drug sensitivity associations [2].</w:t>
      </w:r>
    </w:p>
    <w:p>
      <w:pPr>
        <w:spacing w:after="120" w:line="259" w:lineRule="auto"/>
      </w:pPr>
      <w:r>
        <w:t>Prior computational work has used classical machine learning, deep learning, and multimodal integration for drug-response prediction [4–6]. MOLI is a prominent late-integration example that combines expression, copy-number, and mutation features and reported gains in external validations [5]. However, published comparisons often differ in response metric, drug universe, feature processing, split design, and external-study transfer. The present study addresses a narrower methodological question: whether adding modalities improves a fixed, leakage-controlled baseline under drug-heldout and cross-study evaluation. It is intended as a validation benchmark, not as a competing deep-learning model.</w:t>
      </w:r>
    </w:p>
    <w:p>
      <w:pPr>
        <w:pStyle w:val="Heading2"/>
        <w:keepNext/>
      </w:pPr>
      <w:r>
        <w:t>1.2. Research questions and hypotheses</w:t>
      </w:r>
    </w:p>
    <w:p>
      <w:pPr>
        <w:spacing w:after="120" w:line="259" w:lineRule="auto"/>
      </w:pPr>
      <w:r>
        <w:t>We asked three questions: (Q1) Does feature-level fusion improve prediction when drugs, rather than cell lines alone, are held out? (Q2) Does any improvement transfer when an entire response dataset is held out? (Q3) Are fusion effects accompanied by structured missingness or modality redundancy? We specified the following directional expectations before interpreting the results: H1, fusion may improve drug-heldout prediction relative to expression alone; H2, fusion gains may not transfer across datasets; and H3, missingness and redundancy may vary across source datasets and coincide with unstable fusion effects. These are benchmark hypotheses, not claims of biological causality.</w:t>
      </w:r>
    </w:p>
    <w:p>
      <w:pPr>
        <w:pStyle w:val="Heading1"/>
        <w:keepNext/>
      </w:pPr>
      <w:r>
        <w:t>2. Methods</w:t>
      </w:r>
    </w:p>
    <w:p>
      <w:pPr>
        <w:spacing w:after="120" w:line="259" w:lineRule="auto"/>
      </w:pPr>
      <w:r>
        <w:t>We harmonized DepMap response and molecular data from GDSC1, GDSC2, and CTD² using locked release identifiers. Expression, copy-number, and damaging-mutation features were evaluated separately and in concatenated fusion models. Within each held-out fold, the top 2,000 features per modality were selected using training rows only. Models used median imputation, standardization, and Ridge regression. Drug-held-out splits grouped rows by drug; leave-one-dataset-out folds held out each source dataset in turn. Outer joins were retained for structured missingness analyses.</w:t>
      </w:r>
    </w:p>
    <w:p>
      <w:pPr>
        <w:pStyle w:val="Heading2"/>
        <w:keepNext/>
      </w:pPr>
      <w:r>
        <w:t>2.1. Evaluation scope</w:t>
      </w:r>
    </w:p>
    <w:p>
      <w:pPr>
        <w:spacing w:after="120" w:line="259" w:lineRule="auto"/>
      </w:pPr>
      <w:r>
        <w:t>The declared evaluation universe contains 15 compounds: five from GDSC1, five from GDSC2, and five from CTD². This is a prespecified cross-dataset subset, not the complete drug universe available in any one portal release. Because the datasets do not contain a broad common set of identical compounds, leave-one-dataset-out results measure cross-study transfer rather than same-drug replication.</w:t>
      </w:r>
    </w:p>
    <w:p>
      <w:pPr>
        <w:pStyle w:val="Heading2"/>
        <w:keepNext/>
      </w:pPr>
      <w:r>
        <w:t>2.2. Metrics and interpretation</w:t>
      </w:r>
    </w:p>
    <w:p>
      <w:pPr>
        <w:spacing w:after="120" w:line="259" w:lineRule="auto"/>
      </w:pPr>
      <w:r>
        <w:t>We report mean absolute error (MAE) and root mean squared error (RMSE). Fusion deltas are defined as fusion RMSE minus expression RMSE; negative values favor fusion and positive values favor expression. Missingness strata are descriptive availability strata, not a replacement for imputation-aware model evaluation. All formal result tables and split manifests are versioned with the workflow.</w:t>
      </w:r>
    </w:p>
    <w:p>
      <w:pPr>
        <w:pStyle w:val="Heading2"/>
        <w:keepNext/>
      </w:pPr>
      <w:r>
        <w:t>2.3. Dataset harmonization and response definition</w:t>
      </w:r>
    </w:p>
    <w:p>
      <w:pPr>
        <w:spacing w:after="120" w:line="259" w:lineRule="auto"/>
      </w:pPr>
      <w:r>
        <w:t>The workflow treats the response table as the analysis backbone and joins molecular features through stable cell-line identifiers. Drug identifiers were normalized within source datasets before defining the declared compound universe. The analysis does not assume that nominally similar compounds across sources are interchangeable. Consequently, source-specific response measurements remain associated with their originating dataset, and leave-one-dataset-out evaluation is interpreted as a domain-transfer test.</w:t>
      </w:r>
    </w:p>
    <w:p>
      <w:pPr>
        <w:pStyle w:val="Heading2"/>
        <w:keepNext/>
      </w:pPr>
      <w:r>
        <w:t>2.4. Feature construction and leakage control</w:t>
      </w:r>
    </w:p>
    <w:p>
      <w:pPr>
        <w:spacing w:after="120" w:line="259" w:lineRule="auto"/>
      </w:pPr>
      <w:r>
        <w:t>Expression, copy-number, and damaging-mutation matrices were processed as separate modality blocks. Feature selection was repeated inside every training fold, using only training-row variance and the declared feature budget. The selected blocks were then imputed and standardized using training-derived quantities before model fitting. Test rows were transformed with those fitted quantities. This ordering prevents response information from the held-out drugs or datasets from influencing feature selection or preprocessing.</w:t>
      </w:r>
    </w:p>
    <w:p>
      <w:pPr>
        <w:pStyle w:val="Heading2"/>
        <w:keepNext/>
      </w:pPr>
      <w:r>
        <w:t>2.5. Model specification and baselines</w:t>
      </w:r>
    </w:p>
    <w:p>
      <w:pPr>
        <w:spacing w:after="120" w:line="259" w:lineRule="auto"/>
      </w:pPr>
      <w:r>
        <w:t>Each modality was evaluated as a standalone baseline, and fusion was defined as concatenation of the selected expression, copy-number, and mutation blocks. All models used the same Ridge estimator and alpha value so that the comparison isolates the effect of adding blocks rather than changing the learner. This deliberately conservative design does not claim that Ridge is optimal; it provides a reproducible reference against which more flexible fusion methods can be compared.</w:t>
      </w:r>
    </w:p>
    <w:p>
      <w:pPr>
        <w:pStyle w:val="Heading2"/>
        <w:keepNext/>
      </w:pPr>
      <w:r>
        <w:t>2.6. Split manifests and reproducibility</w:t>
      </w:r>
    </w:p>
    <w:p>
      <w:pPr>
        <w:spacing w:after="120" w:line="259" w:lineRule="auto"/>
      </w:pPr>
      <w:r>
        <w:t>Three drug-held-out manifests were persisted before model evaluation. Grouped splitting prevents rows from the same drug from appearing in both training and test partitions. The leave-one-dataset-out manifests hold out one complete response source at a time. Result JSON files retain the seed, row counts, selected-feature counts, model label, and error metrics. The supplementary package provides the complete manifest and artifact inventory needed to audit these choices.</w:t>
      </w:r>
    </w:p>
    <w:p>
      <w:pPr>
        <w:pStyle w:val="Heading1"/>
        <w:keepNext/>
      </w:pPr>
      <w:r>
        <w:t>3. Results</w:t>
      </w:r>
    </w:p>
    <w:p>
      <w:pPr>
        <w:pStyle w:val="Heading2"/>
        <w:keepNext/>
      </w:pPr>
      <w:r>
        <w:t>3.1. Drug-heldout validation</w:t>
      </w:r>
    </w:p>
    <w:p>
      <w:pPr>
        <w:spacing w:after="120" w:line="259" w:lineRule="auto"/>
      </w:pPr>
      <w:r>
        <w:t>Drug-held-out performance showed a small improvement in all three full-universe splits. The mean RMSE across seeds was 0.2175 for fusion versus 0.2188 for expression alone; this arithmetic mean is not a pooled observation-level RMSE and should not be interpreted as a universal gain. Per-seed and per-model values are reported in Table 2 and Supplementary Table S3.</w:t>
      </w:r>
    </w:p>
    <w:p>
      <w:pPr>
        <w:pStyle w:val="Heading2"/>
        <w:keepNext/>
      </w:pPr>
      <w:r>
        <w:t>3.2. Cross-study transfer</w:t>
      </w:r>
    </w:p>
    <w:p>
      <w:pPr>
        <w:spacing w:after="120" w:line="259" w:lineRule="auto"/>
      </w:pPr>
      <w:r>
        <w:t>In leave-one-dataset-out validation, expression was consistently stronger than fusion, with the largest fusion degradation on CTD2. These folds test transfer across source datasets, not replication of the same drug. The signed fusion-minus-expression RMSE deltas are shown in Figure 2 and Supplementary Table S4.</w:t>
      </w:r>
    </w:p>
    <w:p>
      <w:pPr>
        <w:pStyle w:val="Heading2"/>
        <w:keepNext/>
      </w:pPr>
      <w:r>
        <w:t>3.3. Missingness and redundancy</w:t>
      </w:r>
    </w:p>
    <w:p>
      <w:pPr>
        <w:spacing w:after="120" w:line="259" w:lineRule="auto"/>
      </w:pPr>
      <w:r>
        <w:t>Row-level modality summaries showed weak-to-moderate correlations, while outer-joined tables showed dataset-dependent modality availability. These analyses describe data structure and model behavior; they do not establish that missingness or redundancy caused the observed performance differences.</w:t>
      </w:r>
    </w:p>
    <w:p>
      <w:r>
        <w:rPr>
          <w:b/>
        </w:rPr>
        <w:t xml:space="preserve">Table 1. </w:t>
      </w:r>
      <w:r>
        <w:t>Leave-one-dataset-out RMSE.</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shd w:fill="D9EAF7"/>
          </w:tcPr>
          <w:p>
            <w:pPr>
              <w:spacing w:after="0"/>
            </w:pPr>
            <w:r/>
            <w:r>
              <w:rPr>
                <w:b/>
                <w:sz w:val="16"/>
              </w:rPr>
              <w:t>Held-out dataset</w:t>
            </w:r>
          </w:p>
        </w:tc>
        <w:tc>
          <w:tcPr>
            <w:tcW w:type="dxa" w:w="1958"/>
            <w:vAlign w:val="center"/>
            <w:shd w:fill="D9EAF7"/>
          </w:tcPr>
          <w:p>
            <w:pPr>
              <w:spacing w:after="0"/>
            </w:pPr>
            <w:r/>
            <w:r>
              <w:rPr>
                <w:b/>
                <w:sz w:val="16"/>
              </w:rPr>
              <w:t>Expression</w:t>
            </w:r>
          </w:p>
        </w:tc>
        <w:tc>
          <w:tcPr>
            <w:tcW w:type="dxa" w:w="1958"/>
            <w:vAlign w:val="center"/>
            <w:shd w:fill="D9EAF7"/>
          </w:tcPr>
          <w:p>
            <w:pPr>
              <w:spacing w:after="0"/>
            </w:pPr>
            <w:r/>
            <w:r>
              <w:rPr>
                <w:b/>
                <w:sz w:val="16"/>
              </w:rPr>
              <w:t>Copy number</w:t>
            </w:r>
          </w:p>
        </w:tc>
        <w:tc>
          <w:tcPr>
            <w:tcW w:type="dxa" w:w="1958"/>
            <w:vAlign w:val="center"/>
            <w:shd w:fill="D9EAF7"/>
          </w:tcPr>
          <w:p>
            <w:pPr>
              <w:spacing w:after="0"/>
            </w:pPr>
            <w:r/>
            <w:r>
              <w:rPr>
                <w:b/>
                <w:sz w:val="16"/>
              </w:rPr>
              <w:t>Mutation</w:t>
            </w:r>
          </w:p>
        </w:tc>
        <w:tc>
          <w:tcPr>
            <w:tcW w:type="dxa" w:w="1958"/>
            <w:vAlign w:val="center"/>
            <w:shd w:fill="D9EAF7"/>
          </w:tcPr>
          <w:p>
            <w:pPr>
              <w:spacing w:after="0"/>
            </w:pPr>
            <w:r/>
            <w:r>
              <w:rPr>
                <w:b/>
                <w:sz w:val="16"/>
              </w:rPr>
              <w:t>Fusion</w:t>
            </w:r>
          </w:p>
        </w:tc>
      </w:tr>
      <w:tr>
        <w:tc>
          <w:tcPr>
            <w:tcW w:type="dxa" w:w="1958"/>
            <w:vAlign w:val="center"/>
          </w:tcPr>
          <w:p>
            <w:pPr>
              <w:spacing w:after="0"/>
            </w:pPr>
            <w:r/>
            <w:r>
              <w:rPr>
                <w:b w:val="0"/>
                <w:sz w:val="16"/>
              </w:rPr>
              <w:t>CTD2</w:t>
            </w:r>
          </w:p>
        </w:tc>
        <w:tc>
          <w:tcPr>
            <w:tcW w:type="dxa" w:w="1958"/>
            <w:vAlign w:val="center"/>
          </w:tcPr>
          <w:p>
            <w:pPr>
              <w:spacing w:after="0"/>
            </w:pPr>
            <w:r/>
            <w:r>
              <w:rPr>
                <w:b w:val="0"/>
                <w:sz w:val="16"/>
              </w:rPr>
              <w:t>0.3231</w:t>
            </w:r>
          </w:p>
        </w:tc>
        <w:tc>
          <w:tcPr>
            <w:tcW w:type="dxa" w:w="1958"/>
            <w:vAlign w:val="center"/>
          </w:tcPr>
          <w:p>
            <w:pPr>
              <w:spacing w:after="0"/>
            </w:pPr>
            <w:r/>
            <w:r>
              <w:rPr>
                <w:b w:val="0"/>
                <w:sz w:val="16"/>
              </w:rPr>
              <w:t>0.3287</w:t>
            </w:r>
          </w:p>
        </w:tc>
        <w:tc>
          <w:tcPr>
            <w:tcW w:type="dxa" w:w="1958"/>
            <w:vAlign w:val="center"/>
          </w:tcPr>
          <w:p>
            <w:pPr>
              <w:spacing w:after="0"/>
            </w:pPr>
            <w:r/>
            <w:r>
              <w:rPr>
                <w:b w:val="0"/>
                <w:sz w:val="16"/>
              </w:rPr>
              <w:t>0.3325</w:t>
            </w:r>
          </w:p>
        </w:tc>
        <w:tc>
          <w:tcPr>
            <w:tcW w:type="dxa" w:w="1958"/>
            <w:vAlign w:val="center"/>
          </w:tcPr>
          <w:p>
            <w:pPr>
              <w:spacing w:after="0"/>
            </w:pPr>
            <w:r/>
            <w:r>
              <w:rPr>
                <w:b w:val="0"/>
                <w:sz w:val="16"/>
              </w:rPr>
              <w:t>0.3238</w:t>
            </w:r>
          </w:p>
        </w:tc>
      </w:tr>
      <w:tr>
        <w:tc>
          <w:tcPr>
            <w:tcW w:type="dxa" w:w="1958"/>
            <w:vAlign w:val="center"/>
          </w:tcPr>
          <w:p>
            <w:pPr>
              <w:spacing w:after="0"/>
            </w:pPr>
            <w:r/>
            <w:r>
              <w:rPr>
                <w:b w:val="0"/>
                <w:sz w:val="16"/>
              </w:rPr>
              <w:t>GDSC1</w:t>
            </w:r>
          </w:p>
        </w:tc>
        <w:tc>
          <w:tcPr>
            <w:tcW w:type="dxa" w:w="1958"/>
            <w:vAlign w:val="center"/>
          </w:tcPr>
          <w:p>
            <w:pPr>
              <w:spacing w:after="0"/>
            </w:pPr>
            <w:r/>
            <w:r>
              <w:rPr>
                <w:b w:val="0"/>
                <w:sz w:val="16"/>
              </w:rPr>
              <w:t>0.2322</w:t>
            </w:r>
          </w:p>
        </w:tc>
        <w:tc>
          <w:tcPr>
            <w:tcW w:type="dxa" w:w="1958"/>
            <w:vAlign w:val="center"/>
          </w:tcPr>
          <w:p>
            <w:pPr>
              <w:spacing w:after="0"/>
            </w:pPr>
            <w:r/>
            <w:r>
              <w:rPr>
                <w:b w:val="0"/>
                <w:sz w:val="16"/>
              </w:rPr>
              <w:t>0.2353</w:t>
            </w:r>
          </w:p>
        </w:tc>
        <w:tc>
          <w:tcPr>
            <w:tcW w:type="dxa" w:w="1958"/>
            <w:vAlign w:val="center"/>
          </w:tcPr>
          <w:p>
            <w:pPr>
              <w:spacing w:after="0"/>
            </w:pPr>
            <w:r/>
            <w:r>
              <w:rPr>
                <w:b w:val="0"/>
                <w:sz w:val="16"/>
              </w:rPr>
              <w:t>0.2342</w:t>
            </w:r>
          </w:p>
        </w:tc>
        <w:tc>
          <w:tcPr>
            <w:tcW w:type="dxa" w:w="1958"/>
            <w:vAlign w:val="center"/>
          </w:tcPr>
          <w:p>
            <w:pPr>
              <w:spacing w:after="0"/>
            </w:pPr>
            <w:r/>
            <w:r>
              <w:rPr>
                <w:b w:val="0"/>
                <w:sz w:val="16"/>
              </w:rPr>
              <w:t>0.2339</w:t>
            </w:r>
          </w:p>
        </w:tc>
      </w:tr>
      <w:tr>
        <w:tc>
          <w:tcPr>
            <w:tcW w:type="dxa" w:w="1958"/>
            <w:vAlign w:val="center"/>
          </w:tcPr>
          <w:p>
            <w:pPr>
              <w:spacing w:after="0"/>
            </w:pPr>
            <w:r/>
            <w:r>
              <w:rPr>
                <w:b w:val="0"/>
                <w:sz w:val="16"/>
              </w:rPr>
              <w:t>GDSC2</w:t>
            </w:r>
          </w:p>
        </w:tc>
        <w:tc>
          <w:tcPr>
            <w:tcW w:type="dxa" w:w="1958"/>
            <w:vAlign w:val="center"/>
          </w:tcPr>
          <w:p>
            <w:pPr>
              <w:spacing w:after="0"/>
            </w:pPr>
            <w:r/>
            <w:r>
              <w:rPr>
                <w:b w:val="0"/>
                <w:sz w:val="16"/>
              </w:rPr>
              <w:t>0.2347</w:t>
            </w:r>
          </w:p>
        </w:tc>
        <w:tc>
          <w:tcPr>
            <w:tcW w:type="dxa" w:w="1958"/>
            <w:vAlign w:val="center"/>
          </w:tcPr>
          <w:p>
            <w:pPr>
              <w:spacing w:after="0"/>
            </w:pPr>
            <w:r/>
            <w:r>
              <w:rPr>
                <w:b w:val="0"/>
                <w:sz w:val="16"/>
              </w:rPr>
              <w:t>0.2326</w:t>
            </w:r>
          </w:p>
        </w:tc>
        <w:tc>
          <w:tcPr>
            <w:tcW w:type="dxa" w:w="1958"/>
            <w:vAlign w:val="center"/>
          </w:tcPr>
          <w:p>
            <w:pPr>
              <w:spacing w:after="0"/>
            </w:pPr>
            <w:r/>
            <w:r>
              <w:rPr>
                <w:b w:val="0"/>
                <w:sz w:val="16"/>
              </w:rPr>
              <w:t>0.2406</w:t>
            </w:r>
          </w:p>
        </w:tc>
        <w:tc>
          <w:tcPr>
            <w:tcW w:type="dxa" w:w="1958"/>
            <w:vAlign w:val="center"/>
          </w:tcPr>
          <w:p>
            <w:pPr>
              <w:spacing w:after="0"/>
            </w:pPr>
            <w:r/>
            <w:r>
              <w:rPr>
                <w:b w:val="0"/>
                <w:sz w:val="16"/>
              </w:rPr>
              <w:t>0.2387</w:t>
            </w:r>
          </w:p>
        </w:tc>
      </w:tr>
    </w:tbl>
    <w:p>
      <w:pPr>
        <w:spacing w:after="40"/>
      </w:pPr>
    </w:p>
    <w:p>
      <w:r>
        <w:rPr>
          <w:b/>
        </w:rPr>
        <w:t xml:space="preserve">Table 2a. </w:t>
      </w:r>
      <w:r>
        <w:t>Declared compounds and response-row counts.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pPr>
              <w:spacing w:after="0"/>
            </w:pPr>
            <w:r/>
            <w:r>
              <w:rPr>
                <w:b/>
                <w:sz w:val="16"/>
              </w:rPr>
              <w:t>Dataset</w:t>
            </w:r>
          </w:p>
        </w:tc>
        <w:tc>
          <w:tcPr>
            <w:tcW w:type="dxa" w:w="3264"/>
            <w:vAlign w:val="center"/>
            <w:shd w:fill="D9EAF7"/>
          </w:tcPr>
          <w:p>
            <w:pPr>
              <w:spacing w:after="0"/>
            </w:pPr>
            <w:r/>
            <w:r>
              <w:rPr>
                <w:b/>
                <w:sz w:val="16"/>
              </w:rPr>
              <w:t>Compound</w:t>
            </w:r>
          </w:p>
        </w:tc>
        <w:tc>
          <w:tcPr>
            <w:tcW w:type="dxa" w:w="3264"/>
            <w:vAlign w:val="center"/>
            <w:shd w:fill="D9EAF7"/>
          </w:tcPr>
          <w:p>
            <w:pPr>
              <w:spacing w:after="0"/>
            </w:pPr>
            <w:r/>
            <w:r>
              <w:rPr>
                <w:b/>
                <w:sz w:val="16"/>
              </w:rPr>
              <w:t>Response rows</w:t>
            </w:r>
          </w:p>
        </w:tc>
      </w:tr>
      <w:tr>
        <w:tc>
          <w:tcPr>
            <w:tcW w:type="dxa" w:w="3264"/>
            <w:vAlign w:val="center"/>
          </w:tcPr>
          <w:p>
            <w:pPr>
              <w:spacing w:after="0"/>
            </w:pPr>
            <w:r/>
            <w:r>
              <w:rPr>
                <w:b w:val="0"/>
                <w:sz w:val="16"/>
              </w:rPr>
              <w:t>CTD2</w:t>
            </w:r>
          </w:p>
        </w:tc>
        <w:tc>
          <w:tcPr>
            <w:tcW w:type="dxa" w:w="3264"/>
            <w:vAlign w:val="center"/>
          </w:tcPr>
          <w:p>
            <w:pPr>
              <w:spacing w:after="0"/>
            </w:pPr>
            <w:r/>
            <w:r>
              <w:rPr>
                <w:b w:val="0"/>
                <w:sz w:val="16"/>
              </w:rPr>
              <w:t>AZD-8055</w:t>
            </w:r>
          </w:p>
        </w:tc>
        <w:tc>
          <w:tcPr>
            <w:tcW w:type="dxa" w:w="3264"/>
            <w:vAlign w:val="center"/>
          </w:tcPr>
          <w:p>
            <w:pPr>
              <w:spacing w:after="0"/>
            </w:pPr>
            <w:r/>
            <w:r>
              <w:rPr>
                <w:b w:val="0"/>
                <w:sz w:val="16"/>
              </w:rPr>
              <w:t>779</w:t>
            </w:r>
          </w:p>
        </w:tc>
      </w:tr>
      <w:tr>
        <w:tc>
          <w:tcPr>
            <w:tcW w:type="dxa" w:w="3264"/>
            <w:vAlign w:val="center"/>
          </w:tcPr>
          <w:p>
            <w:pPr>
              <w:spacing w:after="0"/>
            </w:pPr>
            <w:r/>
            <w:r>
              <w:rPr>
                <w:b w:val="0"/>
                <w:sz w:val="16"/>
              </w:rPr>
              <w:t>CTD2</w:t>
            </w:r>
          </w:p>
        </w:tc>
        <w:tc>
          <w:tcPr>
            <w:tcW w:type="dxa" w:w="3264"/>
            <w:vAlign w:val="center"/>
          </w:tcPr>
          <w:p>
            <w:pPr>
              <w:spacing w:after="0"/>
            </w:pPr>
            <w:r/>
            <w:r>
              <w:rPr>
                <w:b w:val="0"/>
                <w:sz w:val="16"/>
              </w:rPr>
              <w:t>LEPTOMYCIN B</w:t>
            </w:r>
          </w:p>
        </w:tc>
        <w:tc>
          <w:tcPr>
            <w:tcW w:type="dxa" w:w="3264"/>
            <w:vAlign w:val="center"/>
          </w:tcPr>
          <w:p>
            <w:pPr>
              <w:spacing w:after="0"/>
            </w:pPr>
            <w:r/>
            <w:r>
              <w:rPr>
                <w:b w:val="0"/>
                <w:sz w:val="16"/>
              </w:rPr>
              <w:t>786</w:t>
            </w:r>
          </w:p>
        </w:tc>
      </w:tr>
      <w:tr>
        <w:tc>
          <w:tcPr>
            <w:tcW w:type="dxa" w:w="3264"/>
            <w:vAlign w:val="center"/>
          </w:tcPr>
          <w:p>
            <w:pPr>
              <w:spacing w:after="0"/>
            </w:pPr>
            <w:r/>
            <w:r>
              <w:rPr>
                <w:b w:val="0"/>
                <w:sz w:val="16"/>
              </w:rPr>
              <w:t>CTD2</w:t>
            </w:r>
          </w:p>
        </w:tc>
        <w:tc>
          <w:tcPr>
            <w:tcW w:type="dxa" w:w="3264"/>
            <w:vAlign w:val="center"/>
          </w:tcPr>
          <w:p>
            <w:pPr>
              <w:spacing w:after="0"/>
            </w:pPr>
            <w:r/>
            <w:r>
              <w:rPr>
                <w:b w:val="0"/>
                <w:sz w:val="16"/>
              </w:rPr>
              <w:t>OUABAIN</w:t>
            </w:r>
          </w:p>
        </w:tc>
        <w:tc>
          <w:tcPr>
            <w:tcW w:type="dxa" w:w="3264"/>
            <w:vAlign w:val="center"/>
          </w:tcPr>
          <w:p>
            <w:pPr>
              <w:spacing w:after="0"/>
            </w:pPr>
            <w:r/>
            <w:r>
              <w:rPr>
                <w:b w:val="0"/>
                <w:sz w:val="16"/>
              </w:rPr>
              <w:t>778</w:t>
            </w:r>
          </w:p>
        </w:tc>
      </w:tr>
      <w:tr>
        <w:tc>
          <w:tcPr>
            <w:tcW w:type="dxa" w:w="3264"/>
            <w:vAlign w:val="center"/>
          </w:tcPr>
          <w:p>
            <w:pPr>
              <w:spacing w:after="0"/>
            </w:pPr>
            <w:r/>
            <w:r>
              <w:rPr>
                <w:b w:val="0"/>
                <w:sz w:val="16"/>
              </w:rPr>
              <w:t>CTD2</w:t>
            </w:r>
          </w:p>
        </w:tc>
        <w:tc>
          <w:tcPr>
            <w:tcW w:type="dxa" w:w="3264"/>
            <w:vAlign w:val="center"/>
          </w:tcPr>
          <w:p>
            <w:pPr>
              <w:spacing w:after="0"/>
            </w:pPr>
            <w:r/>
            <w:r>
              <w:rPr>
                <w:b w:val="0"/>
                <w:sz w:val="16"/>
              </w:rPr>
              <w:t>SR-II-138A</w:t>
            </w:r>
          </w:p>
        </w:tc>
        <w:tc>
          <w:tcPr>
            <w:tcW w:type="dxa" w:w="3264"/>
            <w:vAlign w:val="center"/>
          </w:tcPr>
          <w:p>
            <w:pPr>
              <w:spacing w:after="0"/>
            </w:pPr>
            <w:r/>
            <w:r>
              <w:rPr>
                <w:b w:val="0"/>
                <w:sz w:val="16"/>
              </w:rPr>
              <w:t>781</w:t>
            </w:r>
          </w:p>
        </w:tc>
      </w:tr>
      <w:tr>
        <w:tc>
          <w:tcPr>
            <w:tcW w:type="dxa" w:w="3264"/>
            <w:vAlign w:val="center"/>
          </w:tcPr>
          <w:p>
            <w:pPr>
              <w:spacing w:after="0"/>
            </w:pPr>
            <w:r/>
            <w:r>
              <w:rPr>
                <w:b w:val="0"/>
                <w:sz w:val="16"/>
              </w:rPr>
              <w:t>CTD2</w:t>
            </w:r>
          </w:p>
        </w:tc>
        <w:tc>
          <w:tcPr>
            <w:tcW w:type="dxa" w:w="3264"/>
            <w:vAlign w:val="center"/>
          </w:tcPr>
          <w:p>
            <w:pPr>
              <w:spacing w:after="0"/>
            </w:pPr>
            <w:r/>
            <w:r>
              <w:rPr>
                <w:b w:val="0"/>
                <w:sz w:val="16"/>
              </w:rPr>
              <w:t>VINCRISTINE</w:t>
            </w:r>
          </w:p>
        </w:tc>
        <w:tc>
          <w:tcPr>
            <w:tcW w:type="dxa" w:w="3264"/>
            <w:vAlign w:val="center"/>
          </w:tcPr>
          <w:p>
            <w:pPr>
              <w:spacing w:after="0"/>
            </w:pPr>
            <w:r/>
            <w:r>
              <w:rPr>
                <w:b w:val="0"/>
                <w:sz w:val="16"/>
              </w:rPr>
              <w:t>782</w:t>
            </w:r>
          </w:p>
        </w:tc>
      </w:tr>
      <w:tr>
        <w:tc>
          <w:tcPr>
            <w:tcW w:type="dxa" w:w="3264"/>
            <w:vAlign w:val="center"/>
          </w:tcPr>
          <w:p>
            <w:pPr>
              <w:spacing w:after="0"/>
            </w:pPr>
            <w:r/>
            <w:r>
              <w:rPr>
                <w:b w:val="0"/>
                <w:sz w:val="16"/>
              </w:rPr>
              <w:t>GDSC1</w:t>
            </w:r>
          </w:p>
        </w:tc>
        <w:tc>
          <w:tcPr>
            <w:tcW w:type="dxa" w:w="3264"/>
            <w:vAlign w:val="center"/>
          </w:tcPr>
          <w:p>
            <w:pPr>
              <w:spacing w:after="0"/>
            </w:pPr>
            <w:r/>
            <w:r>
              <w:rPr>
                <w:b w:val="0"/>
                <w:sz w:val="16"/>
              </w:rPr>
              <w:t>ACY-1215 (GDSC1:264)</w:t>
            </w:r>
          </w:p>
        </w:tc>
        <w:tc>
          <w:tcPr>
            <w:tcW w:type="dxa" w:w="3264"/>
            <w:vAlign w:val="center"/>
          </w:tcPr>
          <w:p>
            <w:pPr>
              <w:spacing w:after="0"/>
            </w:pPr>
            <w:r/>
            <w:r>
              <w:rPr>
                <w:b w:val="0"/>
                <w:sz w:val="16"/>
              </w:rPr>
              <w:t>889</w:t>
            </w:r>
          </w:p>
        </w:tc>
      </w:tr>
      <w:tr>
        <w:tc>
          <w:tcPr>
            <w:tcW w:type="dxa" w:w="3264"/>
            <w:vAlign w:val="center"/>
          </w:tcPr>
          <w:p>
            <w:pPr>
              <w:spacing w:after="0"/>
            </w:pPr>
            <w:r/>
            <w:r>
              <w:rPr>
                <w:b w:val="0"/>
                <w:sz w:val="16"/>
              </w:rPr>
              <w:t>GDSC1</w:t>
            </w:r>
          </w:p>
        </w:tc>
        <w:tc>
          <w:tcPr>
            <w:tcW w:type="dxa" w:w="3264"/>
            <w:vAlign w:val="center"/>
          </w:tcPr>
          <w:p>
            <w:pPr>
              <w:spacing w:after="0"/>
            </w:pPr>
            <w:r/>
            <w:r>
              <w:rPr>
                <w:b w:val="0"/>
                <w:sz w:val="16"/>
              </w:rPr>
              <w:t>AICA RIBONUCLEOTIDE (GDSC1:1001)</w:t>
            </w:r>
          </w:p>
        </w:tc>
        <w:tc>
          <w:tcPr>
            <w:tcW w:type="dxa" w:w="3264"/>
            <w:vAlign w:val="center"/>
          </w:tcPr>
          <w:p>
            <w:pPr>
              <w:spacing w:after="0"/>
            </w:pPr>
            <w:r/>
            <w:r>
              <w:rPr>
                <w:b w:val="0"/>
                <w:sz w:val="16"/>
              </w:rPr>
              <w:t>903</w:t>
            </w:r>
          </w:p>
        </w:tc>
      </w:tr>
      <w:tr>
        <w:tc>
          <w:tcPr>
            <w:tcW w:type="dxa" w:w="3264"/>
            <w:vAlign w:val="center"/>
          </w:tcPr>
          <w:p>
            <w:pPr>
              <w:spacing w:after="0"/>
            </w:pPr>
            <w:r/>
            <w:r>
              <w:rPr>
                <w:b w:val="0"/>
                <w:sz w:val="16"/>
              </w:rPr>
              <w:t>GDSC1</w:t>
            </w:r>
          </w:p>
        </w:tc>
        <w:tc>
          <w:tcPr>
            <w:tcW w:type="dxa" w:w="3264"/>
            <w:vAlign w:val="center"/>
          </w:tcPr>
          <w:p>
            <w:pPr>
              <w:spacing w:after="0"/>
            </w:pPr>
            <w:r/>
            <w:r>
              <w:rPr>
                <w:b w:val="0"/>
                <w:sz w:val="16"/>
              </w:rPr>
              <w:t>DACOMITINIB (GDSC1:363)</w:t>
            </w:r>
          </w:p>
        </w:tc>
        <w:tc>
          <w:tcPr>
            <w:tcW w:type="dxa" w:w="3264"/>
            <w:vAlign w:val="center"/>
          </w:tcPr>
          <w:p>
            <w:pPr>
              <w:spacing w:after="0"/>
            </w:pPr>
            <w:r/>
            <w:r>
              <w:rPr>
                <w:b w:val="0"/>
                <w:sz w:val="16"/>
              </w:rPr>
              <w:t>889</w:t>
            </w:r>
          </w:p>
        </w:tc>
      </w:tr>
      <w:tr>
        <w:tc>
          <w:tcPr>
            <w:tcW w:type="dxa" w:w="3264"/>
            <w:vAlign w:val="center"/>
          </w:tcPr>
          <w:p>
            <w:pPr>
              <w:spacing w:after="0"/>
            </w:pPr>
            <w:r/>
            <w:r>
              <w:rPr>
                <w:b w:val="0"/>
                <w:sz w:val="16"/>
              </w:rPr>
              <w:t>GDSC1</w:t>
            </w:r>
          </w:p>
        </w:tc>
        <w:tc>
          <w:tcPr>
            <w:tcW w:type="dxa" w:w="3264"/>
            <w:vAlign w:val="center"/>
          </w:tcPr>
          <w:p>
            <w:pPr>
              <w:spacing w:after="0"/>
            </w:pPr>
            <w:r/>
            <w:r>
              <w:rPr>
                <w:b w:val="0"/>
                <w:sz w:val="16"/>
              </w:rPr>
              <w:t>GSK1059615 (GDSC1:374)</w:t>
            </w:r>
          </w:p>
        </w:tc>
        <w:tc>
          <w:tcPr>
            <w:tcW w:type="dxa" w:w="3264"/>
            <w:vAlign w:val="center"/>
          </w:tcPr>
          <w:p>
            <w:pPr>
              <w:spacing w:after="0"/>
            </w:pPr>
            <w:r/>
            <w:r>
              <w:rPr>
                <w:b w:val="0"/>
                <w:sz w:val="16"/>
              </w:rPr>
              <w:t>889</w:t>
            </w:r>
          </w:p>
        </w:tc>
      </w:tr>
      <w:tr>
        <w:tc>
          <w:tcPr>
            <w:tcW w:type="dxa" w:w="3264"/>
            <w:vAlign w:val="center"/>
          </w:tcPr>
          <w:p>
            <w:pPr>
              <w:spacing w:after="0"/>
            </w:pPr>
            <w:r/>
            <w:r>
              <w:rPr>
                <w:b w:val="0"/>
                <w:sz w:val="16"/>
              </w:rPr>
              <w:t>GDSC1</w:t>
            </w:r>
          </w:p>
        </w:tc>
        <w:tc>
          <w:tcPr>
            <w:tcW w:type="dxa" w:w="3264"/>
            <w:vAlign w:val="center"/>
          </w:tcPr>
          <w:p>
            <w:pPr>
              <w:spacing w:after="0"/>
            </w:pPr>
            <w:r/>
            <w:r>
              <w:rPr>
                <w:b w:val="0"/>
                <w:sz w:val="16"/>
              </w:rPr>
              <w:t>TENOVIN-6 (GDSC1:342)</w:t>
            </w:r>
          </w:p>
        </w:tc>
        <w:tc>
          <w:tcPr>
            <w:tcW w:type="dxa" w:w="3264"/>
            <w:vAlign w:val="center"/>
          </w:tcPr>
          <w:p>
            <w:pPr>
              <w:spacing w:after="0"/>
            </w:pPr>
            <w:r/>
            <w:r>
              <w:rPr>
                <w:b w:val="0"/>
                <w:sz w:val="16"/>
              </w:rPr>
              <w:t>888</w:t>
            </w:r>
          </w:p>
        </w:tc>
      </w:tr>
      <w:tr>
        <w:tc>
          <w:tcPr>
            <w:tcW w:type="dxa" w:w="3264"/>
            <w:vAlign w:val="center"/>
          </w:tcPr>
          <w:p>
            <w:pPr>
              <w:spacing w:after="0"/>
            </w:pPr>
            <w:r/>
            <w:r>
              <w:rPr>
                <w:b w:val="0"/>
                <w:sz w:val="16"/>
              </w:rPr>
              <w:t>GDSC2</w:t>
            </w:r>
          </w:p>
        </w:tc>
        <w:tc>
          <w:tcPr>
            <w:tcW w:type="dxa" w:w="3264"/>
            <w:vAlign w:val="center"/>
          </w:tcPr>
          <w:p>
            <w:pPr>
              <w:spacing w:after="0"/>
            </w:pPr>
            <w:r/>
            <w:r>
              <w:rPr>
                <w:b w:val="0"/>
                <w:sz w:val="16"/>
              </w:rPr>
              <w:t>MG-132 (GDSC2:1862)</w:t>
            </w:r>
          </w:p>
        </w:tc>
        <w:tc>
          <w:tcPr>
            <w:tcW w:type="dxa" w:w="3264"/>
            <w:vAlign w:val="center"/>
          </w:tcPr>
          <w:p>
            <w:pPr>
              <w:spacing w:after="0"/>
            </w:pPr>
            <w:r/>
            <w:r>
              <w:rPr>
                <w:b w:val="0"/>
                <w:sz w:val="16"/>
              </w:rPr>
              <w:t>938</w:t>
            </w:r>
          </w:p>
        </w:tc>
      </w:tr>
      <w:tr>
        <w:tc>
          <w:tcPr>
            <w:tcW w:type="dxa" w:w="3264"/>
            <w:vAlign w:val="center"/>
          </w:tcPr>
          <w:p>
            <w:pPr>
              <w:spacing w:after="0"/>
            </w:pPr>
            <w:r/>
            <w:r>
              <w:rPr>
                <w:b w:val="0"/>
                <w:sz w:val="16"/>
              </w:rPr>
              <w:t>GDSC2</w:t>
            </w:r>
          </w:p>
        </w:tc>
        <w:tc>
          <w:tcPr>
            <w:tcW w:type="dxa" w:w="3264"/>
            <w:vAlign w:val="center"/>
          </w:tcPr>
          <w:p>
            <w:pPr>
              <w:spacing w:after="0"/>
            </w:pPr>
            <w:r/>
            <w:r>
              <w:rPr>
                <w:b w:val="0"/>
                <w:sz w:val="16"/>
              </w:rPr>
              <w:t>MK-2206 (GDSC2:1053)</w:t>
            </w:r>
          </w:p>
        </w:tc>
        <w:tc>
          <w:tcPr>
            <w:tcW w:type="dxa" w:w="3264"/>
            <w:vAlign w:val="center"/>
          </w:tcPr>
          <w:p>
            <w:pPr>
              <w:spacing w:after="0"/>
            </w:pPr>
            <w:r/>
            <w:r>
              <w:rPr>
                <w:b w:val="0"/>
                <w:sz w:val="16"/>
              </w:rPr>
              <w:t>937</w:t>
            </w:r>
          </w:p>
        </w:tc>
      </w:tr>
      <w:tr>
        <w:tc>
          <w:tcPr>
            <w:tcW w:type="dxa" w:w="3264"/>
            <w:vAlign w:val="center"/>
          </w:tcPr>
          <w:p>
            <w:pPr>
              <w:spacing w:after="0"/>
            </w:pPr>
            <w:r/>
            <w:r>
              <w:rPr>
                <w:b w:val="0"/>
                <w:sz w:val="16"/>
              </w:rPr>
              <w:t>GDSC2</w:t>
            </w:r>
          </w:p>
        </w:tc>
        <w:tc>
          <w:tcPr>
            <w:tcW w:type="dxa" w:w="3264"/>
            <w:vAlign w:val="center"/>
          </w:tcPr>
          <w:p>
            <w:pPr>
              <w:spacing w:after="0"/>
            </w:pPr>
            <w:r/>
            <w:r>
              <w:rPr>
                <w:b w:val="0"/>
                <w:sz w:val="16"/>
              </w:rPr>
              <w:t>NAVITOCLAX (GDSC2:1011)</w:t>
            </w:r>
          </w:p>
        </w:tc>
        <w:tc>
          <w:tcPr>
            <w:tcW w:type="dxa" w:w="3264"/>
            <w:vAlign w:val="center"/>
          </w:tcPr>
          <w:p>
            <w:pPr>
              <w:spacing w:after="0"/>
            </w:pPr>
            <w:r/>
            <w:r>
              <w:rPr>
                <w:b w:val="0"/>
                <w:sz w:val="16"/>
              </w:rPr>
              <w:t>937</w:t>
            </w:r>
          </w:p>
        </w:tc>
      </w:tr>
      <w:tr>
        <w:tc>
          <w:tcPr>
            <w:tcW w:type="dxa" w:w="3264"/>
            <w:vAlign w:val="center"/>
          </w:tcPr>
          <w:p>
            <w:pPr>
              <w:spacing w:after="0"/>
            </w:pPr>
            <w:r/>
            <w:r>
              <w:rPr>
                <w:b w:val="0"/>
                <w:sz w:val="16"/>
              </w:rPr>
              <w:t>GDSC2</w:t>
            </w:r>
          </w:p>
        </w:tc>
        <w:tc>
          <w:tcPr>
            <w:tcW w:type="dxa" w:w="3264"/>
            <w:vAlign w:val="center"/>
          </w:tcPr>
          <w:p>
            <w:pPr>
              <w:spacing w:after="0"/>
            </w:pPr>
            <w:r/>
            <w:r>
              <w:rPr>
                <w:b w:val="0"/>
                <w:sz w:val="16"/>
              </w:rPr>
              <w:t>PICTILISIB (GDSC2:1058)</w:t>
            </w:r>
          </w:p>
        </w:tc>
        <w:tc>
          <w:tcPr>
            <w:tcW w:type="dxa" w:w="3264"/>
            <w:vAlign w:val="center"/>
          </w:tcPr>
          <w:p>
            <w:pPr>
              <w:spacing w:after="0"/>
            </w:pPr>
            <w:r/>
            <w:r>
              <w:rPr>
                <w:b w:val="0"/>
                <w:sz w:val="16"/>
              </w:rPr>
              <w:t>936</w:t>
            </w:r>
          </w:p>
        </w:tc>
      </w:tr>
      <w:tr>
        <w:tc>
          <w:tcPr>
            <w:tcW w:type="dxa" w:w="3264"/>
            <w:vAlign w:val="center"/>
          </w:tcPr>
          <w:p>
            <w:pPr>
              <w:spacing w:after="0"/>
            </w:pPr>
            <w:r/>
            <w:r>
              <w:rPr>
                <w:b w:val="0"/>
                <w:sz w:val="16"/>
              </w:rPr>
              <w:t>GDSC2</w:t>
            </w:r>
          </w:p>
        </w:tc>
        <w:tc>
          <w:tcPr>
            <w:tcW w:type="dxa" w:w="3264"/>
            <w:vAlign w:val="center"/>
          </w:tcPr>
          <w:p>
            <w:pPr>
              <w:spacing w:after="0"/>
            </w:pPr>
            <w:r/>
            <w:r>
              <w:rPr>
                <w:b w:val="0"/>
                <w:sz w:val="16"/>
              </w:rPr>
              <w:t>STAUROSPORINE (GDSC2:1034)</w:t>
            </w:r>
          </w:p>
        </w:tc>
        <w:tc>
          <w:tcPr>
            <w:tcW w:type="dxa" w:w="3264"/>
            <w:vAlign w:val="center"/>
          </w:tcPr>
          <w:p>
            <w:pPr>
              <w:spacing w:after="0"/>
            </w:pPr>
            <w:r/>
            <w:r>
              <w:rPr>
                <w:b w:val="0"/>
                <w:sz w:val="16"/>
              </w:rPr>
              <w:t>938</w:t>
            </w:r>
          </w:p>
        </w:tc>
      </w:tr>
    </w:tbl>
    <w:p>
      <w:pPr>
        <w:spacing w:after="40"/>
      </w:pPr>
    </w:p>
    <w:p>
      <w:r>
        <w:rPr>
          <w:b/>
        </w:rPr>
        <w:t xml:space="preserve">Table 2. </w:t>
      </w:r>
      <w:r>
        <w:t>Drug-held-out repeated-seed RMSE.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AF7"/>
          </w:tcPr>
          <w:p>
            <w:pPr>
              <w:spacing w:after="0"/>
            </w:pPr>
            <w:r/>
            <w:r>
              <w:rPr>
                <w:b/>
                <w:sz w:val="16"/>
              </w:rPr>
              <w:t>Seed</w:t>
            </w:r>
          </w:p>
        </w:tc>
        <w:tc>
          <w:tcPr>
            <w:tcW w:type="dxa" w:w="2448"/>
            <w:vAlign w:val="center"/>
            <w:shd w:fill="D9EAF7"/>
          </w:tcPr>
          <w:p>
            <w:pPr>
              <w:spacing w:after="0"/>
            </w:pPr>
            <w:r/>
            <w:r>
              <w:rPr>
                <w:b/>
                <w:sz w:val="16"/>
              </w:rPr>
              <w:t>Expression</w:t>
            </w:r>
          </w:p>
        </w:tc>
        <w:tc>
          <w:tcPr>
            <w:tcW w:type="dxa" w:w="2448"/>
            <w:vAlign w:val="center"/>
            <w:shd w:fill="D9EAF7"/>
          </w:tcPr>
          <w:p>
            <w:pPr>
              <w:spacing w:after="0"/>
            </w:pPr>
            <w:r/>
            <w:r>
              <w:rPr>
                <w:b/>
                <w:sz w:val="16"/>
              </w:rPr>
              <w:t>Fusion</w:t>
            </w:r>
          </w:p>
        </w:tc>
        <w:tc>
          <w:tcPr>
            <w:tcW w:type="dxa" w:w="2448"/>
            <w:vAlign w:val="center"/>
            <w:shd w:fill="D9EAF7"/>
          </w:tcPr>
          <w:p>
            <w:pPr>
              <w:spacing w:after="0"/>
            </w:pPr>
            <w:r/>
            <w:r>
              <w:rPr>
                <w:b/>
                <w:sz w:val="16"/>
              </w:rPr>
              <w:t>Fusion delta</w:t>
            </w:r>
          </w:p>
        </w:tc>
      </w:tr>
      <w:tr>
        <w:tc>
          <w:tcPr>
            <w:tcW w:type="dxa" w:w="2448"/>
            <w:vAlign w:val="center"/>
          </w:tcPr>
          <w:p>
            <w:pPr>
              <w:spacing w:after="0"/>
            </w:pPr>
            <w:r/>
            <w:r>
              <w:rPr>
                <w:b w:val="0"/>
                <w:sz w:val="16"/>
              </w:rPr>
              <w:t>20260821</w:t>
            </w:r>
          </w:p>
        </w:tc>
        <w:tc>
          <w:tcPr>
            <w:tcW w:type="dxa" w:w="2448"/>
            <w:vAlign w:val="center"/>
          </w:tcPr>
          <w:p>
            <w:pPr>
              <w:spacing w:after="0"/>
            </w:pPr>
            <w:r/>
            <w:r>
              <w:rPr>
                <w:b w:val="0"/>
                <w:sz w:val="16"/>
              </w:rPr>
              <w:t>0.1696</w:t>
            </w:r>
          </w:p>
        </w:tc>
        <w:tc>
          <w:tcPr>
            <w:tcW w:type="dxa" w:w="2448"/>
            <w:vAlign w:val="center"/>
          </w:tcPr>
          <w:p>
            <w:pPr>
              <w:spacing w:after="0"/>
            </w:pPr>
            <w:r/>
            <w:r>
              <w:rPr>
                <w:b w:val="0"/>
                <w:sz w:val="16"/>
              </w:rPr>
              <w:t>0.1672</w:t>
            </w:r>
          </w:p>
        </w:tc>
        <w:tc>
          <w:tcPr>
            <w:tcW w:type="dxa" w:w="2448"/>
            <w:vAlign w:val="center"/>
          </w:tcPr>
          <w:p>
            <w:pPr>
              <w:spacing w:after="0"/>
            </w:pPr>
            <w:r/>
            <w:r>
              <w:rPr>
                <w:b w:val="0"/>
                <w:sz w:val="16"/>
              </w:rPr>
              <w:t>-0.0024</w:t>
            </w:r>
          </w:p>
        </w:tc>
      </w:tr>
      <w:tr>
        <w:tc>
          <w:tcPr>
            <w:tcW w:type="dxa" w:w="2448"/>
            <w:vAlign w:val="center"/>
          </w:tcPr>
          <w:p>
            <w:pPr>
              <w:spacing w:after="0"/>
            </w:pPr>
            <w:r/>
            <w:r>
              <w:rPr>
                <w:b w:val="0"/>
                <w:sz w:val="16"/>
              </w:rPr>
              <w:t>20260822</w:t>
            </w:r>
          </w:p>
        </w:tc>
        <w:tc>
          <w:tcPr>
            <w:tcW w:type="dxa" w:w="2448"/>
            <w:vAlign w:val="center"/>
          </w:tcPr>
          <w:p>
            <w:pPr>
              <w:spacing w:after="0"/>
            </w:pPr>
            <w:r/>
            <w:r>
              <w:rPr>
                <w:b w:val="0"/>
                <w:sz w:val="16"/>
              </w:rPr>
              <w:t>0.2538</w:t>
            </w:r>
          </w:p>
        </w:tc>
        <w:tc>
          <w:tcPr>
            <w:tcW w:type="dxa" w:w="2448"/>
            <w:vAlign w:val="center"/>
          </w:tcPr>
          <w:p>
            <w:pPr>
              <w:spacing w:after="0"/>
            </w:pPr>
            <w:r/>
            <w:r>
              <w:rPr>
                <w:b w:val="0"/>
                <w:sz w:val="16"/>
              </w:rPr>
              <w:t>0.2527</w:t>
            </w:r>
          </w:p>
        </w:tc>
        <w:tc>
          <w:tcPr>
            <w:tcW w:type="dxa" w:w="2448"/>
            <w:vAlign w:val="center"/>
          </w:tcPr>
          <w:p>
            <w:pPr>
              <w:spacing w:after="0"/>
            </w:pPr>
            <w:r/>
            <w:r>
              <w:rPr>
                <w:b w:val="0"/>
                <w:sz w:val="16"/>
              </w:rPr>
              <w:t>-0.0011</w:t>
            </w:r>
          </w:p>
        </w:tc>
      </w:tr>
      <w:tr>
        <w:tc>
          <w:tcPr>
            <w:tcW w:type="dxa" w:w="2448"/>
            <w:vAlign w:val="center"/>
          </w:tcPr>
          <w:p>
            <w:pPr>
              <w:spacing w:after="0"/>
            </w:pPr>
            <w:r/>
            <w:r>
              <w:rPr>
                <w:b w:val="0"/>
                <w:sz w:val="16"/>
              </w:rPr>
              <w:t>20260823</w:t>
            </w:r>
          </w:p>
        </w:tc>
        <w:tc>
          <w:tcPr>
            <w:tcW w:type="dxa" w:w="2448"/>
            <w:vAlign w:val="center"/>
          </w:tcPr>
          <w:p>
            <w:pPr>
              <w:spacing w:after="0"/>
            </w:pPr>
            <w:r/>
            <w:r>
              <w:rPr>
                <w:b w:val="0"/>
                <w:sz w:val="16"/>
              </w:rPr>
              <w:t>0.2329</w:t>
            </w:r>
          </w:p>
        </w:tc>
        <w:tc>
          <w:tcPr>
            <w:tcW w:type="dxa" w:w="2448"/>
            <w:vAlign w:val="center"/>
          </w:tcPr>
          <w:p>
            <w:pPr>
              <w:spacing w:after="0"/>
            </w:pPr>
            <w:r/>
            <w:r>
              <w:rPr>
                <w:b w:val="0"/>
                <w:sz w:val="16"/>
              </w:rPr>
              <w:t>0.2326</w:t>
            </w:r>
          </w:p>
        </w:tc>
        <w:tc>
          <w:tcPr>
            <w:tcW w:type="dxa" w:w="2448"/>
            <w:vAlign w:val="center"/>
          </w:tcPr>
          <w:p>
            <w:pPr>
              <w:spacing w:after="0"/>
            </w:pPr>
            <w:r/>
            <w:r>
              <w:rPr>
                <w:b w:val="0"/>
                <w:sz w:val="16"/>
              </w:rPr>
              <w:t>-0.0003</w:t>
            </w:r>
          </w:p>
        </w:tc>
      </w:tr>
    </w:tbl>
    <w:p>
      <w:pPr>
        <w:spacing w:after="40"/>
      </w:pPr>
    </w:p>
    <w:p>
      <w:r>
        <w:rPr>
          <w:b/>
        </w:rPr>
        <w:t xml:space="preserve">Table 3. </w:t>
      </w:r>
      <w:r>
        <w:t>Drug-held-out MAE and RMSE by model and seed.</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shd w:fill="D9EAF7"/>
          </w:tcPr>
          <w:p>
            <w:pPr>
              <w:spacing w:after="0"/>
            </w:pPr>
            <w:r/>
            <w:r>
              <w:rPr>
                <w:b/>
                <w:sz w:val="16"/>
              </w:rPr>
              <w:t>Seed</w:t>
            </w:r>
          </w:p>
        </w:tc>
        <w:tc>
          <w:tcPr>
            <w:tcW w:type="dxa" w:w="1958"/>
            <w:vAlign w:val="center"/>
            <w:shd w:fill="D9EAF7"/>
          </w:tcPr>
          <w:p>
            <w:pPr>
              <w:spacing w:after="0"/>
            </w:pPr>
            <w:r/>
            <w:r>
              <w:rPr>
                <w:b/>
                <w:sz w:val="16"/>
              </w:rPr>
              <w:t>Model</w:t>
            </w:r>
          </w:p>
        </w:tc>
        <w:tc>
          <w:tcPr>
            <w:tcW w:type="dxa" w:w="1958"/>
            <w:vAlign w:val="center"/>
            <w:shd w:fill="D9EAF7"/>
          </w:tcPr>
          <w:p>
            <w:pPr>
              <w:spacing w:after="0"/>
            </w:pPr>
            <w:r/>
            <w:r>
              <w:rPr>
                <w:b/>
                <w:sz w:val="16"/>
              </w:rPr>
              <w:t>MAE</w:t>
            </w:r>
          </w:p>
        </w:tc>
        <w:tc>
          <w:tcPr>
            <w:tcW w:type="dxa" w:w="1958"/>
            <w:vAlign w:val="center"/>
            <w:shd w:fill="D9EAF7"/>
          </w:tcPr>
          <w:p>
            <w:pPr>
              <w:spacing w:after="0"/>
            </w:pPr>
            <w:r/>
            <w:r>
              <w:rPr>
                <w:b/>
                <w:sz w:val="16"/>
              </w:rPr>
              <w:t>RMSE</w:t>
            </w:r>
          </w:p>
        </w:tc>
        <w:tc>
          <w:tcPr>
            <w:tcW w:type="dxa" w:w="1958"/>
            <w:vAlign w:val="center"/>
            <w:shd w:fill="D9EAF7"/>
          </w:tcPr>
          <w:p>
            <w:pPr>
              <w:spacing w:after="0"/>
            </w:pPr>
            <w:r/>
            <w:r>
              <w:rPr>
                <w:b/>
                <w:sz w:val="16"/>
              </w:rPr>
              <w:t>Selected features</w:t>
            </w:r>
          </w:p>
        </w:tc>
      </w:tr>
      <w:tr>
        <w:tc>
          <w:tcPr>
            <w:tcW w:type="dxa" w:w="1958"/>
            <w:vAlign w:val="center"/>
          </w:tcPr>
          <w:p>
            <w:pPr>
              <w:spacing w:after="0"/>
            </w:pPr>
            <w:r/>
            <w:r>
              <w:rPr>
                <w:b w:val="0"/>
                <w:sz w:val="16"/>
              </w:rPr>
              <w:t>20260821</w:t>
            </w:r>
          </w:p>
        </w:tc>
        <w:tc>
          <w:tcPr>
            <w:tcW w:type="dxa" w:w="1958"/>
            <w:vAlign w:val="center"/>
          </w:tcPr>
          <w:p>
            <w:pPr>
              <w:spacing w:after="0"/>
            </w:pPr>
            <w:r/>
            <w:r>
              <w:rPr>
                <w:b w:val="0"/>
                <w:sz w:val="16"/>
              </w:rPr>
              <w:t>expression</w:t>
            </w:r>
          </w:p>
        </w:tc>
        <w:tc>
          <w:tcPr>
            <w:tcW w:type="dxa" w:w="1958"/>
            <w:vAlign w:val="center"/>
          </w:tcPr>
          <w:p>
            <w:pPr>
              <w:spacing w:after="0"/>
            </w:pPr>
            <w:r/>
            <w:r>
              <w:rPr>
                <w:b w:val="0"/>
                <w:sz w:val="16"/>
              </w:rPr>
              <w:t>0.1398</w:t>
            </w:r>
          </w:p>
        </w:tc>
        <w:tc>
          <w:tcPr>
            <w:tcW w:type="dxa" w:w="1958"/>
            <w:vAlign w:val="center"/>
          </w:tcPr>
          <w:p>
            <w:pPr>
              <w:spacing w:after="0"/>
            </w:pPr>
            <w:r/>
            <w:r>
              <w:rPr>
                <w:b w:val="0"/>
                <w:sz w:val="16"/>
              </w:rPr>
              <w:t>0.1696</w:t>
            </w:r>
          </w:p>
        </w:tc>
        <w:tc>
          <w:tcPr>
            <w:tcW w:type="dxa" w:w="1958"/>
            <w:vAlign w:val="center"/>
          </w:tcPr>
          <w:p>
            <w:pPr>
              <w:spacing w:after="0"/>
            </w:pPr>
            <w:r/>
            <w:r>
              <w:rPr>
                <w:b w:val="0"/>
                <w:sz w:val="16"/>
              </w:rPr>
              <w:t>2000</w:t>
            </w:r>
          </w:p>
        </w:tc>
      </w:tr>
      <w:tr>
        <w:tc>
          <w:tcPr>
            <w:tcW w:type="dxa" w:w="1958"/>
            <w:vAlign w:val="center"/>
          </w:tcPr>
          <w:p>
            <w:pPr>
              <w:spacing w:after="0"/>
            </w:pPr>
            <w:r/>
            <w:r>
              <w:rPr>
                <w:b w:val="0"/>
                <w:sz w:val="16"/>
              </w:rPr>
              <w:t>20260821</w:t>
            </w:r>
          </w:p>
        </w:tc>
        <w:tc>
          <w:tcPr>
            <w:tcW w:type="dxa" w:w="1958"/>
            <w:vAlign w:val="center"/>
          </w:tcPr>
          <w:p>
            <w:pPr>
              <w:spacing w:after="0"/>
            </w:pPr>
            <w:r/>
            <w:r>
              <w:rPr>
                <w:b w:val="0"/>
                <w:sz w:val="16"/>
              </w:rPr>
              <w:t>copy_number</w:t>
            </w:r>
          </w:p>
        </w:tc>
        <w:tc>
          <w:tcPr>
            <w:tcW w:type="dxa" w:w="1958"/>
            <w:vAlign w:val="center"/>
          </w:tcPr>
          <w:p>
            <w:pPr>
              <w:spacing w:after="0"/>
            </w:pPr>
            <w:r/>
            <w:r>
              <w:rPr>
                <w:b w:val="0"/>
                <w:sz w:val="16"/>
              </w:rPr>
              <w:t>0.1483</w:t>
            </w:r>
          </w:p>
        </w:tc>
        <w:tc>
          <w:tcPr>
            <w:tcW w:type="dxa" w:w="1958"/>
            <w:vAlign w:val="center"/>
          </w:tcPr>
          <w:p>
            <w:pPr>
              <w:spacing w:after="0"/>
            </w:pPr>
            <w:r/>
            <w:r>
              <w:rPr>
                <w:b w:val="0"/>
                <w:sz w:val="16"/>
              </w:rPr>
              <w:t>0.1786</w:t>
            </w:r>
          </w:p>
        </w:tc>
        <w:tc>
          <w:tcPr>
            <w:tcW w:type="dxa" w:w="1958"/>
            <w:vAlign w:val="center"/>
          </w:tcPr>
          <w:p>
            <w:pPr>
              <w:spacing w:after="0"/>
            </w:pPr>
            <w:r/>
            <w:r>
              <w:rPr>
                <w:b w:val="0"/>
                <w:sz w:val="16"/>
              </w:rPr>
              <w:t>2000</w:t>
            </w:r>
          </w:p>
        </w:tc>
      </w:tr>
      <w:tr>
        <w:tc>
          <w:tcPr>
            <w:tcW w:type="dxa" w:w="1958"/>
            <w:vAlign w:val="center"/>
          </w:tcPr>
          <w:p>
            <w:pPr>
              <w:spacing w:after="0"/>
            </w:pPr>
            <w:r/>
            <w:r>
              <w:rPr>
                <w:b w:val="0"/>
                <w:sz w:val="16"/>
              </w:rPr>
              <w:t>20260821</w:t>
            </w:r>
          </w:p>
        </w:tc>
        <w:tc>
          <w:tcPr>
            <w:tcW w:type="dxa" w:w="1958"/>
            <w:vAlign w:val="center"/>
          </w:tcPr>
          <w:p>
            <w:pPr>
              <w:spacing w:after="0"/>
            </w:pPr>
            <w:r/>
            <w:r>
              <w:rPr>
                <w:b w:val="0"/>
                <w:sz w:val="16"/>
              </w:rPr>
              <w:t>mutation</w:t>
            </w:r>
          </w:p>
        </w:tc>
        <w:tc>
          <w:tcPr>
            <w:tcW w:type="dxa" w:w="1958"/>
            <w:vAlign w:val="center"/>
          </w:tcPr>
          <w:p>
            <w:pPr>
              <w:spacing w:after="0"/>
            </w:pPr>
            <w:r/>
            <w:r>
              <w:rPr>
                <w:b w:val="0"/>
                <w:sz w:val="16"/>
              </w:rPr>
              <w:t>0.1374</w:t>
            </w:r>
          </w:p>
        </w:tc>
        <w:tc>
          <w:tcPr>
            <w:tcW w:type="dxa" w:w="1958"/>
            <w:vAlign w:val="center"/>
          </w:tcPr>
          <w:p>
            <w:pPr>
              <w:spacing w:after="0"/>
            </w:pPr>
            <w:r/>
            <w:r>
              <w:rPr>
                <w:b w:val="0"/>
                <w:sz w:val="16"/>
              </w:rPr>
              <w:t>0.1674</w:t>
            </w:r>
          </w:p>
        </w:tc>
        <w:tc>
          <w:tcPr>
            <w:tcW w:type="dxa" w:w="1958"/>
            <w:vAlign w:val="center"/>
          </w:tcPr>
          <w:p>
            <w:pPr>
              <w:spacing w:after="0"/>
            </w:pPr>
            <w:r/>
            <w:r>
              <w:rPr>
                <w:b w:val="0"/>
                <w:sz w:val="16"/>
              </w:rPr>
              <w:t>2000</w:t>
            </w:r>
          </w:p>
        </w:tc>
      </w:tr>
      <w:tr>
        <w:tc>
          <w:tcPr>
            <w:tcW w:type="dxa" w:w="1958"/>
            <w:vAlign w:val="center"/>
          </w:tcPr>
          <w:p>
            <w:pPr>
              <w:spacing w:after="0"/>
            </w:pPr>
            <w:r/>
            <w:r>
              <w:rPr>
                <w:b w:val="0"/>
                <w:sz w:val="16"/>
              </w:rPr>
              <w:t>20260821</w:t>
            </w:r>
          </w:p>
        </w:tc>
        <w:tc>
          <w:tcPr>
            <w:tcW w:type="dxa" w:w="1958"/>
            <w:vAlign w:val="center"/>
          </w:tcPr>
          <w:p>
            <w:pPr>
              <w:spacing w:after="0"/>
            </w:pPr>
            <w:r/>
            <w:r>
              <w:rPr>
                <w:b w:val="0"/>
                <w:sz w:val="16"/>
              </w:rPr>
              <w:t>fusion</w:t>
            </w:r>
          </w:p>
        </w:tc>
        <w:tc>
          <w:tcPr>
            <w:tcW w:type="dxa" w:w="1958"/>
            <w:vAlign w:val="center"/>
          </w:tcPr>
          <w:p>
            <w:pPr>
              <w:spacing w:after="0"/>
            </w:pPr>
            <w:r/>
            <w:r>
              <w:rPr>
                <w:b w:val="0"/>
                <w:sz w:val="16"/>
              </w:rPr>
              <w:t>0.1370</w:t>
            </w:r>
          </w:p>
        </w:tc>
        <w:tc>
          <w:tcPr>
            <w:tcW w:type="dxa" w:w="1958"/>
            <w:vAlign w:val="center"/>
          </w:tcPr>
          <w:p>
            <w:pPr>
              <w:spacing w:after="0"/>
            </w:pPr>
            <w:r/>
            <w:r>
              <w:rPr>
                <w:b w:val="0"/>
                <w:sz w:val="16"/>
              </w:rPr>
              <w:t>0.1672</w:t>
            </w:r>
          </w:p>
        </w:tc>
        <w:tc>
          <w:tcPr>
            <w:tcW w:type="dxa" w:w="1958"/>
            <w:vAlign w:val="center"/>
          </w:tcPr>
          <w:p>
            <w:pPr>
              <w:spacing w:after="0"/>
            </w:pPr>
            <w:r/>
            <w:r>
              <w:rPr>
                <w:b w:val="0"/>
                <w:sz w:val="16"/>
              </w:rPr>
              <w:t>6000</w:t>
            </w:r>
          </w:p>
        </w:tc>
      </w:tr>
      <w:tr>
        <w:tc>
          <w:tcPr>
            <w:tcW w:type="dxa" w:w="1958"/>
            <w:vAlign w:val="center"/>
          </w:tcPr>
          <w:p>
            <w:pPr>
              <w:spacing w:after="0"/>
            </w:pPr>
            <w:r/>
            <w:r>
              <w:rPr>
                <w:b w:val="0"/>
                <w:sz w:val="16"/>
              </w:rPr>
              <w:t>20260822</w:t>
            </w:r>
          </w:p>
        </w:tc>
        <w:tc>
          <w:tcPr>
            <w:tcW w:type="dxa" w:w="1958"/>
            <w:vAlign w:val="center"/>
          </w:tcPr>
          <w:p>
            <w:pPr>
              <w:spacing w:after="0"/>
            </w:pPr>
            <w:r/>
            <w:r>
              <w:rPr>
                <w:b w:val="0"/>
                <w:sz w:val="16"/>
              </w:rPr>
              <w:t>expression</w:t>
            </w:r>
          </w:p>
        </w:tc>
        <w:tc>
          <w:tcPr>
            <w:tcW w:type="dxa" w:w="1958"/>
            <w:vAlign w:val="center"/>
          </w:tcPr>
          <w:p>
            <w:pPr>
              <w:spacing w:after="0"/>
            </w:pPr>
            <w:r/>
            <w:r>
              <w:rPr>
                <w:b w:val="0"/>
                <w:sz w:val="16"/>
              </w:rPr>
              <w:t>0.2226</w:t>
            </w:r>
          </w:p>
        </w:tc>
        <w:tc>
          <w:tcPr>
            <w:tcW w:type="dxa" w:w="1958"/>
            <w:vAlign w:val="center"/>
          </w:tcPr>
          <w:p>
            <w:pPr>
              <w:spacing w:after="0"/>
            </w:pPr>
            <w:r/>
            <w:r>
              <w:rPr>
                <w:b w:val="0"/>
                <w:sz w:val="16"/>
              </w:rPr>
              <w:t>0.2538</w:t>
            </w:r>
          </w:p>
        </w:tc>
        <w:tc>
          <w:tcPr>
            <w:tcW w:type="dxa" w:w="1958"/>
            <w:vAlign w:val="center"/>
          </w:tcPr>
          <w:p>
            <w:pPr>
              <w:spacing w:after="0"/>
            </w:pPr>
            <w:r/>
            <w:r>
              <w:rPr>
                <w:b w:val="0"/>
                <w:sz w:val="16"/>
              </w:rPr>
              <w:t>2000</w:t>
            </w:r>
          </w:p>
        </w:tc>
      </w:tr>
      <w:tr>
        <w:tc>
          <w:tcPr>
            <w:tcW w:type="dxa" w:w="1958"/>
            <w:vAlign w:val="center"/>
          </w:tcPr>
          <w:p>
            <w:pPr>
              <w:spacing w:after="0"/>
            </w:pPr>
            <w:r/>
            <w:r>
              <w:rPr>
                <w:b w:val="0"/>
                <w:sz w:val="16"/>
              </w:rPr>
              <w:t>20260822</w:t>
            </w:r>
          </w:p>
        </w:tc>
        <w:tc>
          <w:tcPr>
            <w:tcW w:type="dxa" w:w="1958"/>
            <w:vAlign w:val="center"/>
          </w:tcPr>
          <w:p>
            <w:pPr>
              <w:spacing w:after="0"/>
            </w:pPr>
            <w:r/>
            <w:r>
              <w:rPr>
                <w:b w:val="0"/>
                <w:sz w:val="16"/>
              </w:rPr>
              <w:t>copy_number</w:t>
            </w:r>
          </w:p>
        </w:tc>
        <w:tc>
          <w:tcPr>
            <w:tcW w:type="dxa" w:w="1958"/>
            <w:vAlign w:val="center"/>
          </w:tcPr>
          <w:p>
            <w:pPr>
              <w:spacing w:after="0"/>
            </w:pPr>
            <w:r/>
            <w:r>
              <w:rPr>
                <w:b w:val="0"/>
                <w:sz w:val="16"/>
              </w:rPr>
              <w:t>0.2319</w:t>
            </w:r>
          </w:p>
        </w:tc>
        <w:tc>
          <w:tcPr>
            <w:tcW w:type="dxa" w:w="1958"/>
            <w:vAlign w:val="center"/>
          </w:tcPr>
          <w:p>
            <w:pPr>
              <w:spacing w:after="0"/>
            </w:pPr>
            <w:r/>
            <w:r>
              <w:rPr>
                <w:b w:val="0"/>
                <w:sz w:val="16"/>
              </w:rPr>
              <w:t>0.2620</w:t>
            </w:r>
          </w:p>
        </w:tc>
        <w:tc>
          <w:tcPr>
            <w:tcW w:type="dxa" w:w="1958"/>
            <w:vAlign w:val="center"/>
          </w:tcPr>
          <w:p>
            <w:pPr>
              <w:spacing w:after="0"/>
            </w:pPr>
            <w:r/>
            <w:r>
              <w:rPr>
                <w:b w:val="0"/>
                <w:sz w:val="16"/>
              </w:rPr>
              <w:t>2000</w:t>
            </w:r>
          </w:p>
        </w:tc>
      </w:tr>
      <w:tr>
        <w:tc>
          <w:tcPr>
            <w:tcW w:type="dxa" w:w="1958"/>
            <w:vAlign w:val="center"/>
          </w:tcPr>
          <w:p>
            <w:pPr>
              <w:spacing w:after="0"/>
            </w:pPr>
            <w:r/>
            <w:r>
              <w:rPr>
                <w:b w:val="0"/>
                <w:sz w:val="16"/>
              </w:rPr>
              <w:t>20260822</w:t>
            </w:r>
          </w:p>
        </w:tc>
        <w:tc>
          <w:tcPr>
            <w:tcW w:type="dxa" w:w="1958"/>
            <w:vAlign w:val="center"/>
          </w:tcPr>
          <w:p>
            <w:pPr>
              <w:spacing w:after="0"/>
            </w:pPr>
            <w:r/>
            <w:r>
              <w:rPr>
                <w:b w:val="0"/>
                <w:sz w:val="16"/>
              </w:rPr>
              <w:t>mutation</w:t>
            </w:r>
          </w:p>
        </w:tc>
        <w:tc>
          <w:tcPr>
            <w:tcW w:type="dxa" w:w="1958"/>
            <w:vAlign w:val="center"/>
          </w:tcPr>
          <w:p>
            <w:pPr>
              <w:spacing w:after="0"/>
            </w:pPr>
            <w:r/>
            <w:r>
              <w:rPr>
                <w:b w:val="0"/>
                <w:sz w:val="16"/>
              </w:rPr>
              <w:t>0.2208</w:t>
            </w:r>
          </w:p>
        </w:tc>
        <w:tc>
          <w:tcPr>
            <w:tcW w:type="dxa" w:w="1958"/>
            <w:vAlign w:val="center"/>
          </w:tcPr>
          <w:p>
            <w:pPr>
              <w:spacing w:after="0"/>
            </w:pPr>
            <w:r/>
            <w:r>
              <w:rPr>
                <w:b w:val="0"/>
                <w:sz w:val="16"/>
              </w:rPr>
              <w:t>0.2529</w:t>
            </w:r>
          </w:p>
        </w:tc>
        <w:tc>
          <w:tcPr>
            <w:tcW w:type="dxa" w:w="1958"/>
            <w:vAlign w:val="center"/>
          </w:tcPr>
          <w:p>
            <w:pPr>
              <w:spacing w:after="0"/>
            </w:pPr>
            <w:r/>
            <w:r>
              <w:rPr>
                <w:b w:val="0"/>
                <w:sz w:val="16"/>
              </w:rPr>
              <w:t>2000</w:t>
            </w:r>
          </w:p>
        </w:tc>
      </w:tr>
      <w:tr>
        <w:tc>
          <w:tcPr>
            <w:tcW w:type="dxa" w:w="1958"/>
            <w:vAlign w:val="center"/>
          </w:tcPr>
          <w:p>
            <w:pPr>
              <w:spacing w:after="0"/>
            </w:pPr>
            <w:r/>
            <w:r>
              <w:rPr>
                <w:b w:val="0"/>
                <w:sz w:val="16"/>
              </w:rPr>
              <w:t>20260822</w:t>
            </w:r>
          </w:p>
        </w:tc>
        <w:tc>
          <w:tcPr>
            <w:tcW w:type="dxa" w:w="1958"/>
            <w:vAlign w:val="center"/>
          </w:tcPr>
          <w:p>
            <w:pPr>
              <w:spacing w:after="0"/>
            </w:pPr>
            <w:r/>
            <w:r>
              <w:rPr>
                <w:b w:val="0"/>
                <w:sz w:val="16"/>
              </w:rPr>
              <w:t>fusion</w:t>
            </w:r>
          </w:p>
        </w:tc>
        <w:tc>
          <w:tcPr>
            <w:tcW w:type="dxa" w:w="1958"/>
            <w:vAlign w:val="center"/>
          </w:tcPr>
          <w:p>
            <w:pPr>
              <w:spacing w:after="0"/>
            </w:pPr>
            <w:r/>
            <w:r>
              <w:rPr>
                <w:b w:val="0"/>
                <w:sz w:val="16"/>
              </w:rPr>
              <w:t>0.2206</w:t>
            </w:r>
          </w:p>
        </w:tc>
        <w:tc>
          <w:tcPr>
            <w:tcW w:type="dxa" w:w="1958"/>
            <w:vAlign w:val="center"/>
          </w:tcPr>
          <w:p>
            <w:pPr>
              <w:spacing w:after="0"/>
            </w:pPr>
            <w:r/>
            <w:r>
              <w:rPr>
                <w:b w:val="0"/>
                <w:sz w:val="16"/>
              </w:rPr>
              <w:t>0.2527</w:t>
            </w:r>
          </w:p>
        </w:tc>
        <w:tc>
          <w:tcPr>
            <w:tcW w:type="dxa" w:w="1958"/>
            <w:vAlign w:val="center"/>
          </w:tcPr>
          <w:p>
            <w:pPr>
              <w:spacing w:after="0"/>
            </w:pPr>
            <w:r/>
            <w:r>
              <w:rPr>
                <w:b w:val="0"/>
                <w:sz w:val="16"/>
              </w:rPr>
              <w:t>6000</w:t>
            </w:r>
          </w:p>
        </w:tc>
      </w:tr>
      <w:tr>
        <w:tc>
          <w:tcPr>
            <w:tcW w:type="dxa" w:w="1958"/>
            <w:vAlign w:val="center"/>
          </w:tcPr>
          <w:p>
            <w:pPr>
              <w:spacing w:after="0"/>
            </w:pPr>
            <w:r/>
            <w:r>
              <w:rPr>
                <w:b w:val="0"/>
                <w:sz w:val="16"/>
              </w:rPr>
              <w:t>20260823</w:t>
            </w:r>
          </w:p>
        </w:tc>
        <w:tc>
          <w:tcPr>
            <w:tcW w:type="dxa" w:w="1958"/>
            <w:vAlign w:val="center"/>
          </w:tcPr>
          <w:p>
            <w:pPr>
              <w:spacing w:after="0"/>
            </w:pPr>
            <w:r/>
            <w:r>
              <w:rPr>
                <w:b w:val="0"/>
                <w:sz w:val="16"/>
              </w:rPr>
              <w:t>expression</w:t>
            </w:r>
          </w:p>
        </w:tc>
        <w:tc>
          <w:tcPr>
            <w:tcW w:type="dxa" w:w="1958"/>
            <w:vAlign w:val="center"/>
          </w:tcPr>
          <w:p>
            <w:pPr>
              <w:spacing w:after="0"/>
            </w:pPr>
            <w:r/>
            <w:r>
              <w:rPr>
                <w:b w:val="0"/>
                <w:sz w:val="16"/>
              </w:rPr>
              <w:t>0.1913</w:t>
            </w:r>
          </w:p>
        </w:tc>
        <w:tc>
          <w:tcPr>
            <w:tcW w:type="dxa" w:w="1958"/>
            <w:vAlign w:val="center"/>
          </w:tcPr>
          <w:p>
            <w:pPr>
              <w:spacing w:after="0"/>
            </w:pPr>
            <w:r/>
            <w:r>
              <w:rPr>
                <w:b w:val="0"/>
                <w:sz w:val="16"/>
              </w:rPr>
              <w:t>0.2329</w:t>
            </w:r>
          </w:p>
        </w:tc>
        <w:tc>
          <w:tcPr>
            <w:tcW w:type="dxa" w:w="1958"/>
            <w:vAlign w:val="center"/>
          </w:tcPr>
          <w:p>
            <w:pPr>
              <w:spacing w:after="0"/>
            </w:pPr>
            <w:r/>
            <w:r>
              <w:rPr>
                <w:b w:val="0"/>
                <w:sz w:val="16"/>
              </w:rPr>
              <w:t>2000</w:t>
            </w:r>
          </w:p>
        </w:tc>
      </w:tr>
      <w:tr>
        <w:tc>
          <w:tcPr>
            <w:tcW w:type="dxa" w:w="1958"/>
            <w:vAlign w:val="center"/>
          </w:tcPr>
          <w:p>
            <w:pPr>
              <w:spacing w:after="0"/>
            </w:pPr>
            <w:r/>
            <w:r>
              <w:rPr>
                <w:b w:val="0"/>
                <w:sz w:val="16"/>
              </w:rPr>
              <w:t>20260823</w:t>
            </w:r>
          </w:p>
        </w:tc>
        <w:tc>
          <w:tcPr>
            <w:tcW w:type="dxa" w:w="1958"/>
            <w:vAlign w:val="center"/>
          </w:tcPr>
          <w:p>
            <w:pPr>
              <w:spacing w:after="0"/>
            </w:pPr>
            <w:r/>
            <w:r>
              <w:rPr>
                <w:b w:val="0"/>
                <w:sz w:val="16"/>
              </w:rPr>
              <w:t>copy_number</w:t>
            </w:r>
          </w:p>
        </w:tc>
        <w:tc>
          <w:tcPr>
            <w:tcW w:type="dxa" w:w="1958"/>
            <w:vAlign w:val="center"/>
          </w:tcPr>
          <w:p>
            <w:pPr>
              <w:spacing w:after="0"/>
            </w:pPr>
            <w:r/>
            <w:r>
              <w:rPr>
                <w:b w:val="0"/>
                <w:sz w:val="16"/>
              </w:rPr>
              <w:t>0.1939</w:t>
            </w:r>
          </w:p>
        </w:tc>
        <w:tc>
          <w:tcPr>
            <w:tcW w:type="dxa" w:w="1958"/>
            <w:vAlign w:val="center"/>
          </w:tcPr>
          <w:p>
            <w:pPr>
              <w:spacing w:after="0"/>
            </w:pPr>
            <w:r/>
            <w:r>
              <w:rPr>
                <w:b w:val="0"/>
                <w:sz w:val="16"/>
              </w:rPr>
              <w:t>0.2332</w:t>
            </w:r>
          </w:p>
        </w:tc>
        <w:tc>
          <w:tcPr>
            <w:tcW w:type="dxa" w:w="1958"/>
            <w:vAlign w:val="center"/>
          </w:tcPr>
          <w:p>
            <w:pPr>
              <w:spacing w:after="0"/>
            </w:pPr>
            <w:r/>
            <w:r>
              <w:rPr>
                <w:b w:val="0"/>
                <w:sz w:val="16"/>
              </w:rPr>
              <w:t>2000</w:t>
            </w:r>
          </w:p>
        </w:tc>
      </w:tr>
      <w:tr>
        <w:tc>
          <w:tcPr>
            <w:tcW w:type="dxa" w:w="1958"/>
            <w:vAlign w:val="center"/>
          </w:tcPr>
          <w:p>
            <w:pPr>
              <w:spacing w:after="0"/>
            </w:pPr>
            <w:r/>
            <w:r>
              <w:rPr>
                <w:b w:val="0"/>
                <w:sz w:val="16"/>
              </w:rPr>
              <w:t>20260823</w:t>
            </w:r>
          </w:p>
        </w:tc>
        <w:tc>
          <w:tcPr>
            <w:tcW w:type="dxa" w:w="1958"/>
            <w:vAlign w:val="center"/>
          </w:tcPr>
          <w:p>
            <w:pPr>
              <w:spacing w:after="0"/>
            </w:pPr>
            <w:r/>
            <w:r>
              <w:rPr>
                <w:b w:val="0"/>
                <w:sz w:val="16"/>
              </w:rPr>
              <w:t>mutation</w:t>
            </w:r>
          </w:p>
        </w:tc>
        <w:tc>
          <w:tcPr>
            <w:tcW w:type="dxa" w:w="1958"/>
            <w:vAlign w:val="center"/>
          </w:tcPr>
          <w:p>
            <w:pPr>
              <w:spacing w:after="0"/>
            </w:pPr>
            <w:r/>
            <w:r>
              <w:rPr>
                <w:b w:val="0"/>
                <w:sz w:val="16"/>
              </w:rPr>
              <w:t>0.1904</w:t>
            </w:r>
          </w:p>
        </w:tc>
        <w:tc>
          <w:tcPr>
            <w:tcW w:type="dxa" w:w="1958"/>
            <w:vAlign w:val="center"/>
          </w:tcPr>
          <w:p>
            <w:pPr>
              <w:spacing w:after="0"/>
            </w:pPr>
            <w:r/>
            <w:r>
              <w:rPr>
                <w:b w:val="0"/>
                <w:sz w:val="16"/>
              </w:rPr>
              <w:t>0.2325</w:t>
            </w:r>
          </w:p>
        </w:tc>
        <w:tc>
          <w:tcPr>
            <w:tcW w:type="dxa" w:w="1958"/>
            <w:vAlign w:val="center"/>
          </w:tcPr>
          <w:p>
            <w:pPr>
              <w:spacing w:after="0"/>
            </w:pPr>
            <w:r/>
            <w:r>
              <w:rPr>
                <w:b w:val="0"/>
                <w:sz w:val="16"/>
              </w:rPr>
              <w:t>2000</w:t>
            </w:r>
          </w:p>
        </w:tc>
      </w:tr>
      <w:tr>
        <w:tc>
          <w:tcPr>
            <w:tcW w:type="dxa" w:w="1958"/>
            <w:vAlign w:val="center"/>
          </w:tcPr>
          <w:p>
            <w:pPr>
              <w:spacing w:after="0"/>
            </w:pPr>
            <w:r/>
            <w:r>
              <w:rPr>
                <w:b w:val="0"/>
                <w:sz w:val="16"/>
              </w:rPr>
              <w:t>20260823</w:t>
            </w:r>
          </w:p>
        </w:tc>
        <w:tc>
          <w:tcPr>
            <w:tcW w:type="dxa" w:w="1958"/>
            <w:vAlign w:val="center"/>
          </w:tcPr>
          <w:p>
            <w:pPr>
              <w:spacing w:after="0"/>
            </w:pPr>
            <w:r/>
            <w:r>
              <w:rPr>
                <w:b w:val="0"/>
                <w:sz w:val="16"/>
              </w:rPr>
              <w:t>fusion</w:t>
            </w:r>
          </w:p>
        </w:tc>
        <w:tc>
          <w:tcPr>
            <w:tcW w:type="dxa" w:w="1958"/>
            <w:vAlign w:val="center"/>
          </w:tcPr>
          <w:p>
            <w:pPr>
              <w:spacing w:after="0"/>
            </w:pPr>
            <w:r/>
            <w:r>
              <w:rPr>
                <w:b w:val="0"/>
                <w:sz w:val="16"/>
              </w:rPr>
              <w:t>0.1902</w:t>
            </w:r>
          </w:p>
        </w:tc>
        <w:tc>
          <w:tcPr>
            <w:tcW w:type="dxa" w:w="1958"/>
            <w:vAlign w:val="center"/>
          </w:tcPr>
          <w:p>
            <w:pPr>
              <w:spacing w:after="0"/>
            </w:pPr>
            <w:r/>
            <w:r>
              <w:rPr>
                <w:b w:val="0"/>
                <w:sz w:val="16"/>
              </w:rPr>
              <w:t>0.2326</w:t>
            </w:r>
          </w:p>
        </w:tc>
        <w:tc>
          <w:tcPr>
            <w:tcW w:type="dxa" w:w="1958"/>
            <w:vAlign w:val="center"/>
          </w:tcPr>
          <w:p>
            <w:pPr>
              <w:spacing w:after="0"/>
            </w:pPr>
            <w:r/>
            <w:r>
              <w:rPr>
                <w:b w:val="0"/>
                <w:sz w:val="16"/>
              </w:rPr>
              <w:t>6000</w:t>
            </w:r>
          </w:p>
        </w:tc>
      </w:tr>
    </w:tbl>
    <w:p>
      <w:pPr>
        <w:spacing w:after="40"/>
      </w:pPr>
    </w:p>
    <w:p>
      <w:r/>
    </w:p>
    <w:p>
      <w:r>
        <w:rPr>
          <w:b/>
        </w:rPr>
        <w:t xml:space="preserve">Table 4. </w:t>
      </w:r>
      <w:r>
        <w:t>Leave-one-dataset-out MAE, RMSE, and evaluation strata.</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vAlign w:val="center"/>
            <w:shd w:fill="D9EAF7"/>
          </w:tcPr>
          <w:p>
            <w:pPr>
              <w:spacing w:after="0"/>
            </w:pPr>
            <w:r/>
            <w:r>
              <w:rPr>
                <w:b/>
                <w:sz w:val="16"/>
              </w:rPr>
              <w:t>Held-out dataset</w:t>
            </w:r>
          </w:p>
        </w:tc>
        <w:tc>
          <w:tcPr>
            <w:tcW w:type="dxa" w:w="1632"/>
            <w:vAlign w:val="center"/>
            <w:shd w:fill="D9EAF7"/>
          </w:tcPr>
          <w:p>
            <w:pPr>
              <w:spacing w:after="0"/>
            </w:pPr>
            <w:r/>
            <w:r>
              <w:rPr>
                <w:b/>
                <w:sz w:val="16"/>
              </w:rPr>
              <w:t>Model</w:t>
            </w:r>
          </w:p>
        </w:tc>
        <w:tc>
          <w:tcPr>
            <w:tcW w:type="dxa" w:w="1632"/>
            <w:vAlign w:val="center"/>
            <w:shd w:fill="D9EAF7"/>
          </w:tcPr>
          <w:p>
            <w:pPr>
              <w:spacing w:after="0"/>
            </w:pPr>
            <w:r/>
            <w:r>
              <w:rPr>
                <w:b/>
                <w:sz w:val="16"/>
              </w:rPr>
              <w:t>Train rows</w:t>
            </w:r>
          </w:p>
        </w:tc>
        <w:tc>
          <w:tcPr>
            <w:tcW w:type="dxa" w:w="1632"/>
            <w:vAlign w:val="center"/>
            <w:shd w:fill="D9EAF7"/>
          </w:tcPr>
          <w:p>
            <w:pPr>
              <w:spacing w:after="0"/>
            </w:pPr>
            <w:r/>
            <w:r>
              <w:rPr>
                <w:b/>
                <w:sz w:val="16"/>
              </w:rPr>
              <w:t>Test rows</w:t>
            </w:r>
          </w:p>
        </w:tc>
        <w:tc>
          <w:tcPr>
            <w:tcW w:type="dxa" w:w="1632"/>
            <w:vAlign w:val="center"/>
            <w:shd w:fill="D9EAF7"/>
          </w:tcPr>
          <w:p>
            <w:pPr>
              <w:spacing w:after="0"/>
            </w:pPr>
            <w:r/>
            <w:r>
              <w:rPr>
                <w:b/>
                <w:sz w:val="16"/>
              </w:rPr>
              <w:t>MAE</w:t>
            </w:r>
          </w:p>
        </w:tc>
        <w:tc>
          <w:tcPr>
            <w:tcW w:type="dxa" w:w="1632"/>
            <w:vAlign w:val="center"/>
            <w:shd w:fill="D9EAF7"/>
          </w:tcPr>
          <w:p>
            <w:pPr>
              <w:spacing w:after="0"/>
            </w:pPr>
            <w:r/>
            <w:r>
              <w:rPr>
                <w:b/>
                <w:sz w:val="16"/>
              </w:rPr>
              <w:t>RMSE</w:t>
            </w:r>
          </w:p>
        </w:tc>
      </w:tr>
      <w:tr>
        <w:tc>
          <w:tcPr>
            <w:tcW w:type="dxa" w:w="1632"/>
            <w:vAlign w:val="center"/>
          </w:tcPr>
          <w:p>
            <w:pPr>
              <w:spacing w:after="0"/>
            </w:pPr>
            <w:r/>
            <w:r>
              <w:rPr>
                <w:b w:val="0"/>
                <w:sz w:val="16"/>
              </w:rPr>
              <w:t>CTD2</w:t>
            </w:r>
          </w:p>
        </w:tc>
        <w:tc>
          <w:tcPr>
            <w:tcW w:type="dxa" w:w="1632"/>
            <w:vAlign w:val="center"/>
          </w:tcPr>
          <w:p>
            <w:pPr>
              <w:spacing w:after="0"/>
            </w:pPr>
            <w:r/>
            <w:r>
              <w:rPr>
                <w:b w:val="0"/>
                <w:sz w:val="16"/>
              </w:rPr>
              <w:t>expression</w:t>
            </w:r>
          </w:p>
        </w:tc>
        <w:tc>
          <w:tcPr>
            <w:tcW w:type="dxa" w:w="1632"/>
            <w:vAlign w:val="center"/>
          </w:tcPr>
          <w:p>
            <w:pPr>
              <w:spacing w:after="0"/>
            </w:pPr>
            <w:r/>
            <w:r>
              <w:rPr>
                <w:b w:val="0"/>
                <w:sz w:val="16"/>
              </w:rPr>
              <w:t>9144</w:t>
            </w:r>
          </w:p>
        </w:tc>
        <w:tc>
          <w:tcPr>
            <w:tcW w:type="dxa" w:w="1632"/>
            <w:vAlign w:val="center"/>
          </w:tcPr>
          <w:p>
            <w:pPr>
              <w:spacing w:after="0"/>
            </w:pPr>
            <w:r/>
            <w:r>
              <w:rPr>
                <w:b w:val="0"/>
                <w:sz w:val="16"/>
              </w:rPr>
              <w:t>3906</w:t>
            </w:r>
          </w:p>
        </w:tc>
        <w:tc>
          <w:tcPr>
            <w:tcW w:type="dxa" w:w="1632"/>
            <w:vAlign w:val="center"/>
          </w:tcPr>
          <w:p>
            <w:pPr>
              <w:spacing w:after="0"/>
            </w:pPr>
            <w:r/>
            <w:r>
              <w:rPr>
                <w:b w:val="0"/>
                <w:sz w:val="16"/>
              </w:rPr>
              <w:t>0.2745</w:t>
            </w:r>
          </w:p>
        </w:tc>
        <w:tc>
          <w:tcPr>
            <w:tcW w:type="dxa" w:w="1632"/>
            <w:vAlign w:val="center"/>
          </w:tcPr>
          <w:p>
            <w:pPr>
              <w:spacing w:after="0"/>
            </w:pPr>
            <w:r/>
            <w:r>
              <w:rPr>
                <w:b w:val="0"/>
                <w:sz w:val="16"/>
              </w:rPr>
              <w:t>0.3231</w:t>
            </w:r>
          </w:p>
        </w:tc>
      </w:tr>
      <w:tr>
        <w:tc>
          <w:tcPr>
            <w:tcW w:type="dxa" w:w="1632"/>
            <w:vAlign w:val="center"/>
          </w:tcPr>
          <w:p>
            <w:pPr>
              <w:spacing w:after="0"/>
            </w:pPr>
            <w:r/>
            <w:r>
              <w:rPr>
                <w:b w:val="0"/>
                <w:sz w:val="16"/>
              </w:rPr>
              <w:t>CTD2</w:t>
            </w:r>
          </w:p>
        </w:tc>
        <w:tc>
          <w:tcPr>
            <w:tcW w:type="dxa" w:w="1632"/>
            <w:vAlign w:val="center"/>
          </w:tcPr>
          <w:p>
            <w:pPr>
              <w:spacing w:after="0"/>
            </w:pPr>
            <w:r/>
            <w:r>
              <w:rPr>
                <w:b w:val="0"/>
                <w:sz w:val="16"/>
              </w:rPr>
              <w:t>copy_number</w:t>
            </w:r>
          </w:p>
        </w:tc>
        <w:tc>
          <w:tcPr>
            <w:tcW w:type="dxa" w:w="1632"/>
            <w:vAlign w:val="center"/>
          </w:tcPr>
          <w:p>
            <w:pPr>
              <w:spacing w:after="0"/>
            </w:pPr>
            <w:r/>
            <w:r>
              <w:rPr>
                <w:b w:val="0"/>
                <w:sz w:val="16"/>
              </w:rPr>
              <w:t>9144</w:t>
            </w:r>
          </w:p>
        </w:tc>
        <w:tc>
          <w:tcPr>
            <w:tcW w:type="dxa" w:w="1632"/>
            <w:vAlign w:val="center"/>
          </w:tcPr>
          <w:p>
            <w:pPr>
              <w:spacing w:after="0"/>
            </w:pPr>
            <w:r/>
            <w:r>
              <w:rPr>
                <w:b w:val="0"/>
                <w:sz w:val="16"/>
              </w:rPr>
              <w:t>3906</w:t>
            </w:r>
          </w:p>
        </w:tc>
        <w:tc>
          <w:tcPr>
            <w:tcW w:type="dxa" w:w="1632"/>
            <w:vAlign w:val="center"/>
          </w:tcPr>
          <w:p>
            <w:pPr>
              <w:spacing w:after="0"/>
            </w:pPr>
            <w:r/>
            <w:r>
              <w:rPr>
                <w:b w:val="0"/>
                <w:sz w:val="16"/>
              </w:rPr>
              <w:t>0.2779</w:t>
            </w:r>
          </w:p>
        </w:tc>
        <w:tc>
          <w:tcPr>
            <w:tcW w:type="dxa" w:w="1632"/>
            <w:vAlign w:val="center"/>
          </w:tcPr>
          <w:p>
            <w:pPr>
              <w:spacing w:after="0"/>
            </w:pPr>
            <w:r/>
            <w:r>
              <w:rPr>
                <w:b w:val="0"/>
                <w:sz w:val="16"/>
              </w:rPr>
              <w:t>0.3287</w:t>
            </w:r>
          </w:p>
        </w:tc>
      </w:tr>
      <w:tr>
        <w:tc>
          <w:tcPr>
            <w:tcW w:type="dxa" w:w="1632"/>
            <w:vAlign w:val="center"/>
          </w:tcPr>
          <w:p>
            <w:pPr>
              <w:spacing w:after="0"/>
            </w:pPr>
            <w:r/>
            <w:r>
              <w:rPr>
                <w:b w:val="0"/>
                <w:sz w:val="16"/>
              </w:rPr>
              <w:t>CTD2</w:t>
            </w:r>
          </w:p>
        </w:tc>
        <w:tc>
          <w:tcPr>
            <w:tcW w:type="dxa" w:w="1632"/>
            <w:vAlign w:val="center"/>
          </w:tcPr>
          <w:p>
            <w:pPr>
              <w:spacing w:after="0"/>
            </w:pPr>
            <w:r/>
            <w:r>
              <w:rPr>
                <w:b w:val="0"/>
                <w:sz w:val="16"/>
              </w:rPr>
              <w:t>mutation</w:t>
            </w:r>
          </w:p>
        </w:tc>
        <w:tc>
          <w:tcPr>
            <w:tcW w:type="dxa" w:w="1632"/>
            <w:vAlign w:val="center"/>
          </w:tcPr>
          <w:p>
            <w:pPr>
              <w:spacing w:after="0"/>
            </w:pPr>
            <w:r/>
            <w:r>
              <w:rPr>
                <w:b w:val="0"/>
                <w:sz w:val="16"/>
              </w:rPr>
              <w:t>9144</w:t>
            </w:r>
          </w:p>
        </w:tc>
        <w:tc>
          <w:tcPr>
            <w:tcW w:type="dxa" w:w="1632"/>
            <w:vAlign w:val="center"/>
          </w:tcPr>
          <w:p>
            <w:pPr>
              <w:spacing w:after="0"/>
            </w:pPr>
            <w:r/>
            <w:r>
              <w:rPr>
                <w:b w:val="0"/>
                <w:sz w:val="16"/>
              </w:rPr>
              <w:t>3906</w:t>
            </w:r>
          </w:p>
        </w:tc>
        <w:tc>
          <w:tcPr>
            <w:tcW w:type="dxa" w:w="1632"/>
            <w:vAlign w:val="center"/>
          </w:tcPr>
          <w:p>
            <w:pPr>
              <w:spacing w:after="0"/>
            </w:pPr>
            <w:r/>
            <w:r>
              <w:rPr>
                <w:b w:val="0"/>
                <w:sz w:val="16"/>
              </w:rPr>
              <w:t>0.2803</w:t>
            </w:r>
          </w:p>
        </w:tc>
        <w:tc>
          <w:tcPr>
            <w:tcW w:type="dxa" w:w="1632"/>
            <w:vAlign w:val="center"/>
          </w:tcPr>
          <w:p>
            <w:pPr>
              <w:spacing w:after="0"/>
            </w:pPr>
            <w:r/>
            <w:r>
              <w:rPr>
                <w:b w:val="0"/>
                <w:sz w:val="16"/>
              </w:rPr>
              <w:t>0.3325</w:t>
            </w:r>
          </w:p>
        </w:tc>
      </w:tr>
      <w:tr>
        <w:tc>
          <w:tcPr>
            <w:tcW w:type="dxa" w:w="1632"/>
            <w:vAlign w:val="center"/>
          </w:tcPr>
          <w:p>
            <w:pPr>
              <w:spacing w:after="0"/>
            </w:pPr>
            <w:r/>
            <w:r>
              <w:rPr>
                <w:b w:val="0"/>
                <w:sz w:val="16"/>
              </w:rPr>
              <w:t>CTD2</w:t>
            </w:r>
          </w:p>
        </w:tc>
        <w:tc>
          <w:tcPr>
            <w:tcW w:type="dxa" w:w="1632"/>
            <w:vAlign w:val="center"/>
          </w:tcPr>
          <w:p>
            <w:pPr>
              <w:spacing w:after="0"/>
            </w:pPr>
            <w:r/>
            <w:r>
              <w:rPr>
                <w:b w:val="0"/>
                <w:sz w:val="16"/>
              </w:rPr>
              <w:t>fusion</w:t>
            </w:r>
          </w:p>
        </w:tc>
        <w:tc>
          <w:tcPr>
            <w:tcW w:type="dxa" w:w="1632"/>
            <w:vAlign w:val="center"/>
          </w:tcPr>
          <w:p>
            <w:pPr>
              <w:spacing w:after="0"/>
            </w:pPr>
            <w:r/>
            <w:r>
              <w:rPr>
                <w:b w:val="0"/>
                <w:sz w:val="16"/>
              </w:rPr>
              <w:t>9144</w:t>
            </w:r>
          </w:p>
        </w:tc>
        <w:tc>
          <w:tcPr>
            <w:tcW w:type="dxa" w:w="1632"/>
            <w:vAlign w:val="center"/>
          </w:tcPr>
          <w:p>
            <w:pPr>
              <w:spacing w:after="0"/>
            </w:pPr>
            <w:r/>
            <w:r>
              <w:rPr>
                <w:b w:val="0"/>
                <w:sz w:val="16"/>
              </w:rPr>
              <w:t>3906</w:t>
            </w:r>
          </w:p>
        </w:tc>
        <w:tc>
          <w:tcPr>
            <w:tcW w:type="dxa" w:w="1632"/>
            <w:vAlign w:val="center"/>
          </w:tcPr>
          <w:p>
            <w:pPr>
              <w:spacing w:after="0"/>
            </w:pPr>
            <w:r/>
            <w:r>
              <w:rPr>
                <w:b w:val="0"/>
                <w:sz w:val="16"/>
              </w:rPr>
              <w:t>0.2744</w:t>
            </w:r>
          </w:p>
        </w:tc>
        <w:tc>
          <w:tcPr>
            <w:tcW w:type="dxa" w:w="1632"/>
            <w:vAlign w:val="center"/>
          </w:tcPr>
          <w:p>
            <w:pPr>
              <w:spacing w:after="0"/>
            </w:pPr>
            <w:r/>
            <w:r>
              <w:rPr>
                <w:b w:val="0"/>
                <w:sz w:val="16"/>
              </w:rPr>
              <w:t>0.3238</w:t>
            </w:r>
          </w:p>
        </w:tc>
      </w:tr>
      <w:tr>
        <w:tc>
          <w:tcPr>
            <w:tcW w:type="dxa" w:w="1632"/>
            <w:vAlign w:val="center"/>
          </w:tcPr>
          <w:p>
            <w:pPr>
              <w:spacing w:after="0"/>
            </w:pPr>
            <w:r/>
            <w:r>
              <w:rPr>
                <w:b w:val="0"/>
                <w:sz w:val="16"/>
              </w:rPr>
              <w:t>GDSC1</w:t>
            </w:r>
          </w:p>
        </w:tc>
        <w:tc>
          <w:tcPr>
            <w:tcW w:type="dxa" w:w="1632"/>
            <w:vAlign w:val="center"/>
          </w:tcPr>
          <w:p>
            <w:pPr>
              <w:spacing w:after="0"/>
            </w:pPr>
            <w:r/>
            <w:r>
              <w:rPr>
                <w:b w:val="0"/>
                <w:sz w:val="16"/>
              </w:rPr>
              <w:t>expression</w:t>
            </w:r>
          </w:p>
        </w:tc>
        <w:tc>
          <w:tcPr>
            <w:tcW w:type="dxa" w:w="1632"/>
            <w:vAlign w:val="center"/>
          </w:tcPr>
          <w:p>
            <w:pPr>
              <w:spacing w:after="0"/>
            </w:pPr>
            <w:r/>
            <w:r>
              <w:rPr>
                <w:b w:val="0"/>
                <w:sz w:val="16"/>
              </w:rPr>
              <w:t>8592</w:t>
            </w:r>
          </w:p>
        </w:tc>
        <w:tc>
          <w:tcPr>
            <w:tcW w:type="dxa" w:w="1632"/>
            <w:vAlign w:val="center"/>
          </w:tcPr>
          <w:p>
            <w:pPr>
              <w:spacing w:after="0"/>
            </w:pPr>
            <w:r/>
            <w:r>
              <w:rPr>
                <w:b w:val="0"/>
                <w:sz w:val="16"/>
              </w:rPr>
              <w:t>4458</w:t>
            </w:r>
          </w:p>
        </w:tc>
        <w:tc>
          <w:tcPr>
            <w:tcW w:type="dxa" w:w="1632"/>
            <w:vAlign w:val="center"/>
          </w:tcPr>
          <w:p>
            <w:pPr>
              <w:spacing w:after="0"/>
            </w:pPr>
            <w:r/>
            <w:r>
              <w:rPr>
                <w:b w:val="0"/>
                <w:sz w:val="16"/>
              </w:rPr>
              <w:t>0.1961</w:t>
            </w:r>
          </w:p>
        </w:tc>
        <w:tc>
          <w:tcPr>
            <w:tcW w:type="dxa" w:w="1632"/>
            <w:vAlign w:val="center"/>
          </w:tcPr>
          <w:p>
            <w:pPr>
              <w:spacing w:after="0"/>
            </w:pPr>
            <w:r/>
            <w:r>
              <w:rPr>
                <w:b w:val="0"/>
                <w:sz w:val="16"/>
              </w:rPr>
              <w:t>0.2322</w:t>
            </w:r>
          </w:p>
        </w:tc>
      </w:tr>
      <w:tr>
        <w:tc>
          <w:tcPr>
            <w:tcW w:type="dxa" w:w="1632"/>
            <w:vAlign w:val="center"/>
          </w:tcPr>
          <w:p>
            <w:pPr>
              <w:spacing w:after="0"/>
            </w:pPr>
            <w:r/>
            <w:r>
              <w:rPr>
                <w:b w:val="0"/>
                <w:sz w:val="16"/>
              </w:rPr>
              <w:t>GDSC1</w:t>
            </w:r>
          </w:p>
        </w:tc>
        <w:tc>
          <w:tcPr>
            <w:tcW w:type="dxa" w:w="1632"/>
            <w:vAlign w:val="center"/>
          </w:tcPr>
          <w:p>
            <w:pPr>
              <w:spacing w:after="0"/>
            </w:pPr>
            <w:r/>
            <w:r>
              <w:rPr>
                <w:b w:val="0"/>
                <w:sz w:val="16"/>
              </w:rPr>
              <w:t>copy_number</w:t>
            </w:r>
          </w:p>
        </w:tc>
        <w:tc>
          <w:tcPr>
            <w:tcW w:type="dxa" w:w="1632"/>
            <w:vAlign w:val="center"/>
          </w:tcPr>
          <w:p>
            <w:pPr>
              <w:spacing w:after="0"/>
            </w:pPr>
            <w:r/>
            <w:r>
              <w:rPr>
                <w:b w:val="0"/>
                <w:sz w:val="16"/>
              </w:rPr>
              <w:t>8592</w:t>
            </w:r>
          </w:p>
        </w:tc>
        <w:tc>
          <w:tcPr>
            <w:tcW w:type="dxa" w:w="1632"/>
            <w:vAlign w:val="center"/>
          </w:tcPr>
          <w:p>
            <w:pPr>
              <w:spacing w:after="0"/>
            </w:pPr>
            <w:r/>
            <w:r>
              <w:rPr>
                <w:b w:val="0"/>
                <w:sz w:val="16"/>
              </w:rPr>
              <w:t>4458</w:t>
            </w:r>
          </w:p>
        </w:tc>
        <w:tc>
          <w:tcPr>
            <w:tcW w:type="dxa" w:w="1632"/>
            <w:vAlign w:val="center"/>
          </w:tcPr>
          <w:p>
            <w:pPr>
              <w:spacing w:after="0"/>
            </w:pPr>
            <w:r/>
            <w:r>
              <w:rPr>
                <w:b w:val="0"/>
                <w:sz w:val="16"/>
              </w:rPr>
              <w:t>0.2015</w:t>
            </w:r>
          </w:p>
        </w:tc>
        <w:tc>
          <w:tcPr>
            <w:tcW w:type="dxa" w:w="1632"/>
            <w:vAlign w:val="center"/>
          </w:tcPr>
          <w:p>
            <w:pPr>
              <w:spacing w:after="0"/>
            </w:pPr>
            <w:r/>
            <w:r>
              <w:rPr>
                <w:b w:val="0"/>
                <w:sz w:val="16"/>
              </w:rPr>
              <w:t>0.2353</w:t>
            </w:r>
          </w:p>
        </w:tc>
      </w:tr>
      <w:tr>
        <w:tc>
          <w:tcPr>
            <w:tcW w:type="dxa" w:w="1632"/>
            <w:vAlign w:val="center"/>
          </w:tcPr>
          <w:p>
            <w:pPr>
              <w:spacing w:after="0"/>
            </w:pPr>
            <w:r/>
            <w:r>
              <w:rPr>
                <w:b w:val="0"/>
                <w:sz w:val="16"/>
              </w:rPr>
              <w:t>GDSC1</w:t>
            </w:r>
          </w:p>
        </w:tc>
        <w:tc>
          <w:tcPr>
            <w:tcW w:type="dxa" w:w="1632"/>
            <w:vAlign w:val="center"/>
          </w:tcPr>
          <w:p>
            <w:pPr>
              <w:spacing w:after="0"/>
            </w:pPr>
            <w:r/>
            <w:r>
              <w:rPr>
                <w:b w:val="0"/>
                <w:sz w:val="16"/>
              </w:rPr>
              <w:t>mutation</w:t>
            </w:r>
          </w:p>
        </w:tc>
        <w:tc>
          <w:tcPr>
            <w:tcW w:type="dxa" w:w="1632"/>
            <w:vAlign w:val="center"/>
          </w:tcPr>
          <w:p>
            <w:pPr>
              <w:spacing w:after="0"/>
            </w:pPr>
            <w:r/>
            <w:r>
              <w:rPr>
                <w:b w:val="0"/>
                <w:sz w:val="16"/>
              </w:rPr>
              <w:t>8592</w:t>
            </w:r>
          </w:p>
        </w:tc>
        <w:tc>
          <w:tcPr>
            <w:tcW w:type="dxa" w:w="1632"/>
            <w:vAlign w:val="center"/>
          </w:tcPr>
          <w:p>
            <w:pPr>
              <w:spacing w:after="0"/>
            </w:pPr>
            <w:r/>
            <w:r>
              <w:rPr>
                <w:b w:val="0"/>
                <w:sz w:val="16"/>
              </w:rPr>
              <w:t>4458</w:t>
            </w:r>
          </w:p>
        </w:tc>
        <w:tc>
          <w:tcPr>
            <w:tcW w:type="dxa" w:w="1632"/>
            <w:vAlign w:val="center"/>
          </w:tcPr>
          <w:p>
            <w:pPr>
              <w:spacing w:after="0"/>
            </w:pPr>
            <w:r/>
            <w:r>
              <w:rPr>
                <w:b w:val="0"/>
                <w:sz w:val="16"/>
              </w:rPr>
              <w:t>0.1966</w:t>
            </w:r>
          </w:p>
        </w:tc>
        <w:tc>
          <w:tcPr>
            <w:tcW w:type="dxa" w:w="1632"/>
            <w:vAlign w:val="center"/>
          </w:tcPr>
          <w:p>
            <w:pPr>
              <w:spacing w:after="0"/>
            </w:pPr>
            <w:r/>
            <w:r>
              <w:rPr>
                <w:b w:val="0"/>
                <w:sz w:val="16"/>
              </w:rPr>
              <w:t>0.2342</w:t>
            </w:r>
          </w:p>
        </w:tc>
      </w:tr>
      <w:tr>
        <w:tc>
          <w:tcPr>
            <w:tcW w:type="dxa" w:w="1632"/>
            <w:vAlign w:val="center"/>
          </w:tcPr>
          <w:p>
            <w:pPr>
              <w:spacing w:after="0"/>
            </w:pPr>
            <w:r/>
            <w:r>
              <w:rPr>
                <w:b w:val="0"/>
                <w:sz w:val="16"/>
              </w:rPr>
              <w:t>GDSC1</w:t>
            </w:r>
          </w:p>
        </w:tc>
        <w:tc>
          <w:tcPr>
            <w:tcW w:type="dxa" w:w="1632"/>
            <w:vAlign w:val="center"/>
          </w:tcPr>
          <w:p>
            <w:pPr>
              <w:spacing w:after="0"/>
            </w:pPr>
            <w:r/>
            <w:r>
              <w:rPr>
                <w:b w:val="0"/>
                <w:sz w:val="16"/>
              </w:rPr>
              <w:t>fusion</w:t>
            </w:r>
          </w:p>
        </w:tc>
        <w:tc>
          <w:tcPr>
            <w:tcW w:type="dxa" w:w="1632"/>
            <w:vAlign w:val="center"/>
          </w:tcPr>
          <w:p>
            <w:pPr>
              <w:spacing w:after="0"/>
            </w:pPr>
            <w:r/>
            <w:r>
              <w:rPr>
                <w:b w:val="0"/>
                <w:sz w:val="16"/>
              </w:rPr>
              <w:t>8592</w:t>
            </w:r>
          </w:p>
        </w:tc>
        <w:tc>
          <w:tcPr>
            <w:tcW w:type="dxa" w:w="1632"/>
            <w:vAlign w:val="center"/>
          </w:tcPr>
          <w:p>
            <w:pPr>
              <w:spacing w:after="0"/>
            </w:pPr>
            <w:r/>
            <w:r>
              <w:rPr>
                <w:b w:val="0"/>
                <w:sz w:val="16"/>
              </w:rPr>
              <w:t>4458</w:t>
            </w:r>
          </w:p>
        </w:tc>
        <w:tc>
          <w:tcPr>
            <w:tcW w:type="dxa" w:w="1632"/>
            <w:vAlign w:val="center"/>
          </w:tcPr>
          <w:p>
            <w:pPr>
              <w:spacing w:after="0"/>
            </w:pPr>
            <w:r/>
            <w:r>
              <w:rPr>
                <w:b w:val="0"/>
                <w:sz w:val="16"/>
              </w:rPr>
              <w:t>0.1963</w:t>
            </w:r>
          </w:p>
        </w:tc>
        <w:tc>
          <w:tcPr>
            <w:tcW w:type="dxa" w:w="1632"/>
            <w:vAlign w:val="center"/>
          </w:tcPr>
          <w:p>
            <w:pPr>
              <w:spacing w:after="0"/>
            </w:pPr>
            <w:r/>
            <w:r>
              <w:rPr>
                <w:b w:val="0"/>
                <w:sz w:val="16"/>
              </w:rPr>
              <w:t>0.2339</w:t>
            </w:r>
          </w:p>
        </w:tc>
      </w:tr>
      <w:tr>
        <w:tc>
          <w:tcPr>
            <w:tcW w:type="dxa" w:w="1632"/>
            <w:vAlign w:val="center"/>
          </w:tcPr>
          <w:p>
            <w:pPr>
              <w:spacing w:after="0"/>
            </w:pPr>
            <w:r/>
            <w:r>
              <w:rPr>
                <w:b w:val="0"/>
                <w:sz w:val="16"/>
              </w:rPr>
              <w:t>GDSC2</w:t>
            </w:r>
          </w:p>
        </w:tc>
        <w:tc>
          <w:tcPr>
            <w:tcW w:type="dxa" w:w="1632"/>
            <w:vAlign w:val="center"/>
          </w:tcPr>
          <w:p>
            <w:pPr>
              <w:spacing w:after="0"/>
            </w:pPr>
            <w:r/>
            <w:r>
              <w:rPr>
                <w:b w:val="0"/>
                <w:sz w:val="16"/>
              </w:rPr>
              <w:t>expression</w:t>
            </w:r>
          </w:p>
        </w:tc>
        <w:tc>
          <w:tcPr>
            <w:tcW w:type="dxa" w:w="1632"/>
            <w:vAlign w:val="center"/>
          </w:tcPr>
          <w:p>
            <w:pPr>
              <w:spacing w:after="0"/>
            </w:pPr>
            <w:r/>
            <w:r>
              <w:rPr>
                <w:b w:val="0"/>
                <w:sz w:val="16"/>
              </w:rPr>
              <w:t>8364</w:t>
            </w:r>
          </w:p>
        </w:tc>
        <w:tc>
          <w:tcPr>
            <w:tcW w:type="dxa" w:w="1632"/>
            <w:vAlign w:val="center"/>
          </w:tcPr>
          <w:p>
            <w:pPr>
              <w:spacing w:after="0"/>
            </w:pPr>
            <w:r/>
            <w:r>
              <w:rPr>
                <w:b w:val="0"/>
                <w:sz w:val="16"/>
              </w:rPr>
              <w:t>4686</w:t>
            </w:r>
          </w:p>
        </w:tc>
        <w:tc>
          <w:tcPr>
            <w:tcW w:type="dxa" w:w="1632"/>
            <w:vAlign w:val="center"/>
          </w:tcPr>
          <w:p>
            <w:pPr>
              <w:spacing w:after="0"/>
            </w:pPr>
            <w:r/>
            <w:r>
              <w:rPr>
                <w:b w:val="0"/>
                <w:sz w:val="16"/>
              </w:rPr>
              <w:t>0.1973</w:t>
            </w:r>
          </w:p>
        </w:tc>
        <w:tc>
          <w:tcPr>
            <w:tcW w:type="dxa" w:w="1632"/>
            <w:vAlign w:val="center"/>
          </w:tcPr>
          <w:p>
            <w:pPr>
              <w:spacing w:after="0"/>
            </w:pPr>
            <w:r/>
            <w:r>
              <w:rPr>
                <w:b w:val="0"/>
                <w:sz w:val="16"/>
              </w:rPr>
              <w:t>0.2347</w:t>
            </w:r>
          </w:p>
        </w:tc>
      </w:tr>
      <w:tr>
        <w:tc>
          <w:tcPr>
            <w:tcW w:type="dxa" w:w="1632"/>
            <w:vAlign w:val="center"/>
          </w:tcPr>
          <w:p>
            <w:pPr>
              <w:spacing w:after="0"/>
            </w:pPr>
            <w:r/>
            <w:r>
              <w:rPr>
                <w:b w:val="0"/>
                <w:sz w:val="16"/>
              </w:rPr>
              <w:t>GDSC2</w:t>
            </w:r>
          </w:p>
        </w:tc>
        <w:tc>
          <w:tcPr>
            <w:tcW w:type="dxa" w:w="1632"/>
            <w:vAlign w:val="center"/>
          </w:tcPr>
          <w:p>
            <w:pPr>
              <w:spacing w:after="0"/>
            </w:pPr>
            <w:r/>
            <w:r>
              <w:rPr>
                <w:b w:val="0"/>
                <w:sz w:val="16"/>
              </w:rPr>
              <w:t>copy_number</w:t>
            </w:r>
          </w:p>
        </w:tc>
        <w:tc>
          <w:tcPr>
            <w:tcW w:type="dxa" w:w="1632"/>
            <w:vAlign w:val="center"/>
          </w:tcPr>
          <w:p>
            <w:pPr>
              <w:spacing w:after="0"/>
            </w:pPr>
            <w:r/>
            <w:r>
              <w:rPr>
                <w:b w:val="0"/>
                <w:sz w:val="16"/>
              </w:rPr>
              <w:t>8364</w:t>
            </w:r>
          </w:p>
        </w:tc>
        <w:tc>
          <w:tcPr>
            <w:tcW w:type="dxa" w:w="1632"/>
            <w:vAlign w:val="center"/>
          </w:tcPr>
          <w:p>
            <w:pPr>
              <w:spacing w:after="0"/>
            </w:pPr>
            <w:r/>
            <w:r>
              <w:rPr>
                <w:b w:val="0"/>
                <w:sz w:val="16"/>
              </w:rPr>
              <w:t>4686</w:t>
            </w:r>
          </w:p>
        </w:tc>
        <w:tc>
          <w:tcPr>
            <w:tcW w:type="dxa" w:w="1632"/>
            <w:vAlign w:val="center"/>
          </w:tcPr>
          <w:p>
            <w:pPr>
              <w:spacing w:after="0"/>
            </w:pPr>
            <w:r/>
            <w:r>
              <w:rPr>
                <w:b w:val="0"/>
                <w:sz w:val="16"/>
              </w:rPr>
              <w:t>0.1980</w:t>
            </w:r>
          </w:p>
        </w:tc>
        <w:tc>
          <w:tcPr>
            <w:tcW w:type="dxa" w:w="1632"/>
            <w:vAlign w:val="center"/>
          </w:tcPr>
          <w:p>
            <w:pPr>
              <w:spacing w:after="0"/>
            </w:pPr>
            <w:r/>
            <w:r>
              <w:rPr>
                <w:b w:val="0"/>
                <w:sz w:val="16"/>
              </w:rPr>
              <w:t>0.2326</w:t>
            </w:r>
          </w:p>
        </w:tc>
      </w:tr>
      <w:tr>
        <w:tc>
          <w:tcPr>
            <w:tcW w:type="dxa" w:w="1632"/>
            <w:vAlign w:val="center"/>
          </w:tcPr>
          <w:p>
            <w:pPr>
              <w:spacing w:after="0"/>
            </w:pPr>
            <w:r/>
            <w:r>
              <w:rPr>
                <w:b w:val="0"/>
                <w:sz w:val="16"/>
              </w:rPr>
              <w:t>GDSC2</w:t>
            </w:r>
          </w:p>
        </w:tc>
        <w:tc>
          <w:tcPr>
            <w:tcW w:type="dxa" w:w="1632"/>
            <w:vAlign w:val="center"/>
          </w:tcPr>
          <w:p>
            <w:pPr>
              <w:spacing w:after="0"/>
            </w:pPr>
            <w:r/>
            <w:r>
              <w:rPr>
                <w:b w:val="0"/>
                <w:sz w:val="16"/>
              </w:rPr>
              <w:t>mutation</w:t>
            </w:r>
          </w:p>
        </w:tc>
        <w:tc>
          <w:tcPr>
            <w:tcW w:type="dxa" w:w="1632"/>
            <w:vAlign w:val="center"/>
          </w:tcPr>
          <w:p>
            <w:pPr>
              <w:spacing w:after="0"/>
            </w:pPr>
            <w:r/>
            <w:r>
              <w:rPr>
                <w:b w:val="0"/>
                <w:sz w:val="16"/>
              </w:rPr>
              <w:t>8364</w:t>
            </w:r>
          </w:p>
        </w:tc>
        <w:tc>
          <w:tcPr>
            <w:tcW w:type="dxa" w:w="1632"/>
            <w:vAlign w:val="center"/>
          </w:tcPr>
          <w:p>
            <w:pPr>
              <w:spacing w:after="0"/>
            </w:pPr>
            <w:r/>
            <w:r>
              <w:rPr>
                <w:b w:val="0"/>
                <w:sz w:val="16"/>
              </w:rPr>
              <w:t>4686</w:t>
            </w:r>
          </w:p>
        </w:tc>
        <w:tc>
          <w:tcPr>
            <w:tcW w:type="dxa" w:w="1632"/>
            <w:vAlign w:val="center"/>
          </w:tcPr>
          <w:p>
            <w:pPr>
              <w:spacing w:after="0"/>
            </w:pPr>
            <w:r/>
            <w:r>
              <w:rPr>
                <w:b w:val="0"/>
                <w:sz w:val="16"/>
              </w:rPr>
              <w:t>0.2000</w:t>
            </w:r>
          </w:p>
        </w:tc>
        <w:tc>
          <w:tcPr>
            <w:tcW w:type="dxa" w:w="1632"/>
            <w:vAlign w:val="center"/>
          </w:tcPr>
          <w:p>
            <w:pPr>
              <w:spacing w:after="0"/>
            </w:pPr>
            <w:r/>
            <w:r>
              <w:rPr>
                <w:b w:val="0"/>
                <w:sz w:val="16"/>
              </w:rPr>
              <w:t>0.2406</w:t>
            </w:r>
          </w:p>
        </w:tc>
      </w:tr>
      <w:tr>
        <w:tc>
          <w:tcPr>
            <w:tcW w:type="dxa" w:w="1632"/>
            <w:vAlign w:val="center"/>
          </w:tcPr>
          <w:p>
            <w:pPr>
              <w:spacing w:after="0"/>
            </w:pPr>
            <w:r/>
            <w:r>
              <w:rPr>
                <w:b w:val="0"/>
                <w:sz w:val="16"/>
              </w:rPr>
              <w:t>GDSC2</w:t>
            </w:r>
          </w:p>
        </w:tc>
        <w:tc>
          <w:tcPr>
            <w:tcW w:type="dxa" w:w="1632"/>
            <w:vAlign w:val="center"/>
          </w:tcPr>
          <w:p>
            <w:pPr>
              <w:spacing w:after="0"/>
            </w:pPr>
            <w:r/>
            <w:r>
              <w:rPr>
                <w:b w:val="0"/>
                <w:sz w:val="16"/>
              </w:rPr>
              <w:t>fusion</w:t>
            </w:r>
          </w:p>
        </w:tc>
        <w:tc>
          <w:tcPr>
            <w:tcW w:type="dxa" w:w="1632"/>
            <w:vAlign w:val="center"/>
          </w:tcPr>
          <w:p>
            <w:pPr>
              <w:spacing w:after="0"/>
            </w:pPr>
            <w:r/>
            <w:r>
              <w:rPr>
                <w:b w:val="0"/>
                <w:sz w:val="16"/>
              </w:rPr>
              <w:t>8364</w:t>
            </w:r>
          </w:p>
        </w:tc>
        <w:tc>
          <w:tcPr>
            <w:tcW w:type="dxa" w:w="1632"/>
            <w:vAlign w:val="center"/>
          </w:tcPr>
          <w:p>
            <w:pPr>
              <w:spacing w:after="0"/>
            </w:pPr>
            <w:r/>
            <w:r>
              <w:rPr>
                <w:b w:val="0"/>
                <w:sz w:val="16"/>
              </w:rPr>
              <w:t>4686</w:t>
            </w:r>
          </w:p>
        </w:tc>
        <w:tc>
          <w:tcPr>
            <w:tcW w:type="dxa" w:w="1632"/>
            <w:vAlign w:val="center"/>
          </w:tcPr>
          <w:p>
            <w:pPr>
              <w:spacing w:after="0"/>
            </w:pPr>
            <w:r/>
            <w:r>
              <w:rPr>
                <w:b w:val="0"/>
                <w:sz w:val="16"/>
              </w:rPr>
              <w:t>0.1986</w:t>
            </w:r>
          </w:p>
        </w:tc>
        <w:tc>
          <w:tcPr>
            <w:tcW w:type="dxa" w:w="1632"/>
            <w:vAlign w:val="center"/>
          </w:tcPr>
          <w:p>
            <w:pPr>
              <w:spacing w:after="0"/>
            </w:pPr>
            <w:r/>
            <w:r>
              <w:rPr>
                <w:b w:val="0"/>
                <w:sz w:val="16"/>
              </w:rPr>
              <w:t>0.2387</w:t>
            </w:r>
          </w:p>
        </w:tc>
      </w:tr>
    </w:tbl>
    <w:p>
      <w:pPr>
        <w:spacing w:after="40"/>
      </w:pPr>
    </w:p>
    <w:p>
      <w:pPr>
        <w:jc w:val="center"/>
      </w:pPr>
      <w:r/>
    </w:p>
    <w:p>
      <w:pPr>
        <w:jc w:val="center"/>
      </w:pPr>
      <w:r>
        <w:t>Figure 1. Leave-one-dataset-out performance.</w:t>
      </w:r>
    </w:p>
    <w:p>
      <w:pPr>
        <w:jc w:val="center"/>
      </w:pPr>
      <w:r/>
    </w:p>
    <w:p>
      <w:pPr>
        <w:jc w:val="center"/>
      </w:pPr>
      <w:r>
        <w:t>Figure 2. Fusion minus expression RMSE across held-out folds.</w:t>
      </w:r>
    </w:p>
    <w:p>
      <w:pPr>
        <w:pStyle w:val="Heading1"/>
        <w:keepNext/>
      </w:pPr>
      <w:r>
        <w:t>4. Discussion</w:t>
      </w:r>
    </w:p>
    <w:p>
      <w:pPr>
        <w:spacing w:after="120" w:line="259" w:lineRule="auto"/>
      </w:pPr>
      <w:r>
        <w:t>The results do not support a universal multimodal advantage. Fusion can help within a drug-held-out universe yet fail under study transfer, consistent with domain-specific response scales, assay coverage, and feature distributions. The study is limited by the small prespecified 15-drug universe, limited same-drug overlap across datasets, and the use of compact Ridge baselines rather than a broad model class. The conclusions are therefore about evaluation design and conditional predictive value, not a claim that any modality is biologically uninformative.</w:t>
      </w:r>
    </w:p>
    <w:p>
      <w:pPr>
        <w:spacing w:after="120" w:line="259" w:lineRule="auto"/>
      </w:pPr>
      <w:r>
        <w:t>H1 was supported in the full-universe drug-heldout benchmark, although the improvement was small in every seed. H2 was supported in this evaluation: fusion degraded performance in all three leave-one-dataset-out folds. H3 was supported descriptively because modality availability and row-level correlations differed across source tables, but the study does not identify a causal explanation. These findings argue for reporting effect size and transfer failures alongside the direction of the fusion comparison.</w:t>
      </w:r>
    </w:p>
    <w:p>
      <w:pPr>
        <w:pStyle w:val="Heading2"/>
        <w:keepNext/>
      </w:pPr>
      <w:r>
        <w:t>4.1. Interpretation of the within-dataset result</w:t>
      </w:r>
    </w:p>
    <w:p>
      <w:pPr>
        <w:spacing w:after="120" w:line="259" w:lineRule="auto"/>
      </w:pPr>
      <w:r>
        <w:t>The drug-held-out result is compatible with a limited benefit from complementary features when the training and test rows share a source-defined response system. The improvement is small relative to the seed-to-seed variation, and two favorable splits do not establish a stable effect across an expanded compound universe. We therefore describe this result as conditional evidence that fusion can be useful under a matched evaluation regime, not as evidence that fusion should replace a strong single-modality baseline.</w:t>
      </w:r>
    </w:p>
    <w:p>
      <w:pPr>
        <w:pStyle w:val="Heading2"/>
        <w:keepNext/>
      </w:pPr>
      <w:r>
        <w:t>4.2. Interpretation of cross-study degradation</w:t>
      </w:r>
    </w:p>
    <w:p>
      <w:pPr>
        <w:spacing w:after="120" w:line="259" w:lineRule="auto"/>
      </w:pPr>
      <w:r>
        <w:t>The consistent cross-study degradation is the most important cautionary result. It may reflect differences in assay design, response scaling, compound composition, cell-line coverage, molecular measurement, or feature distributions. The present benchmark does not separate these explanations. It does show that a model selected for within-universe performance can lose accuracy when the response source changes, which makes transfer validation necessary for claims about general-purpose multimodal prediction.</w:t>
      </w:r>
    </w:p>
    <w:p>
      <w:pPr>
        <w:pStyle w:val="Heading2"/>
        <w:keepNext/>
      </w:pPr>
      <w:r>
        <w:t>4.3. Missingness, redundancy, and model choice</w:t>
      </w:r>
    </w:p>
    <w:p>
      <w:pPr>
        <w:spacing w:after="120" w:line="259" w:lineRule="auto"/>
      </w:pPr>
      <w:r>
        <w:t>The outer-join analysis shows that the usable intersection of modalities differs by dataset. A complete-case fusion analysis can therefore change the population being evaluated before any model is fitted. Conversely, median imputation preserves rows but may weaken modality-specific structure. The current analysis reports both availability and model performance, but it does not compare missingness-aware architectures, learned imputation, modality dropout, or late-fusion weighting. Those are appropriate follow-up tests rather than conclusions supported here.</w:t>
      </w:r>
    </w:p>
    <w:p>
      <w:pPr>
        <w:pStyle w:val="Heading2"/>
        <w:keepNext/>
      </w:pPr>
      <w:r>
        <w:t>4.4. Relation to prior multimodal work</w:t>
      </w:r>
    </w:p>
    <w:p>
      <w:pPr>
        <w:spacing w:after="120" w:line="259" w:lineRule="auto"/>
      </w:pPr>
      <w:r>
        <w:t>The findings do not contradict prior reports that multimodal integration can improve drug-response prediction under particular data and validation settings [4–6]. Instead, they emphasize that the reported gain is inseparable from the response universe, split strategy, preprocessing, and transfer target. The distinction is especially relevant when a study combines data sources that differ in coverage or measurement. A fair comparison should therefore report the single-modality baseline, fold-local processing, held-out entities, and the direction and size of the fusion delta.</w:t>
      </w:r>
    </w:p>
    <w:p>
      <w:pPr>
        <w:pStyle w:val="Heading2"/>
        <w:keepNext/>
      </w:pPr>
      <w:r>
        <w:t>4.5. Limitations and next experiments</w:t>
      </w:r>
    </w:p>
    <w:p>
      <w:pPr>
        <w:spacing w:after="120" w:line="259" w:lineRule="auto"/>
      </w:pPr>
      <w:r>
        <w:t>The principal limitations are the 15-compound evaluation universe, the limited overlap of identical drugs across datasets, the use of a fixed Ridge model, and the absence of prospective experimental validation. The modality set also excludes potentially informative assays such as proteomics, methylation, and lineage-aware representations. Future work should enlarge the common-drug benchmark, compare response harmonization strategies, evaluate modality dropout and missingness-aware models, and predefine an external test set before model selection. These steps would test whether the observed transfer failure is specific to the current construction or a broader property of multimodal pharmacogenomics.</w:t>
      </w:r>
    </w:p>
    <w:p>
      <w:pPr>
        <w:pStyle w:val="Heading1"/>
        <w:keepNext/>
      </w:pPr>
      <w:r>
        <w:t>5. Data and code availability</w:t>
      </w:r>
    </w:p>
    <w:p>
      <w:pPr>
        <w:spacing w:after="120" w:line="259" w:lineRule="auto"/>
      </w:pPr>
      <w:r>
        <w:t>Code, manifests, derived result summaries, figures, and reproducibility notes are provided in the project repository. Raw DepMap files must be obtained from the provider under the applicable terms; see the public-data access note. The repository does not redistribute raw molecular matrices.</w:t>
      </w:r>
    </w:p>
    <w:p>
      <w:pPr>
        <w:pStyle w:val="Heading1"/>
        <w:keepNext/>
      </w:pPr>
      <w:r>
        <w:t>6. References</w:t>
      </w:r>
    </w:p>
    <w:p>
      <w:r>
        <w:t>[1] Barretina J, et al. The Cancer Cell Line Encyclopedia enables predictive modelling of anticancer drug sensitivity. Nature. 2012;483:603–607. doi:10.1038/nature11003.</w:t>
      </w:r>
    </w:p>
    <w:p>
      <w:r>
        <w:t>[2] Iorio F, et al. A landscape of pharmacogenomic interactions in cancer. Cell. 2016;166:740–754. doi:10.1016/j.cell.2016.06.017.</w:t>
      </w:r>
    </w:p>
    <w:p>
      <w:r>
        <w:t>[3] Tsherniak A, et al. Defining a cancer dependency map. Cell. 2017;170:564–576.e16. doi:10.1016/j.cell.2017.06.010.</w:t>
      </w:r>
    </w:p>
    <w:p>
      <w:r>
        <w:t>[4] Azuaje F. Computational models for predicting drug responses in cancer research. Brief Bioinform. 2017;18:820–829. doi:10.1093/bib/bbw065.</w:t>
      </w:r>
    </w:p>
    <w:p>
      <w:r>
        <w:t>[5] Sharifi-Noghabi H, et al. MOLI: multi-omics late integration with deep neural networks for drug response prediction. Bioinformatics. 2019;35:i501–i509. doi:10.1093/bioinformatics/btz318.</w:t>
      </w:r>
    </w:p>
    <w:p>
      <w:r>
        <w:t>[6] Cai Z, et al. Machine learning for multi-omics data integration in cancer. iScience. 2022;25:103798. doi:10.1016/j.isci.2022.103798.</w:t>
      </w:r>
    </w:p>
    <w:p>
      <w:r>
        <w:t>[7] DepMap. How should I cite DepMap data? DepMap Portal. Updated 2025.</w:t>
      </w:r>
    </w:p>
    <w:p>
      <w:r/>
    </w:p>
    <w:p>
      <w:pPr>
        <w:pStyle w:val="Heading1"/>
        <w:keepNext/>
      </w:pPr>
      <w:r>
        <w:t>Appendix A. Reproducibility and reporting specification</w:t>
      </w:r>
    </w:p>
    <w:p>
      <w:pPr>
        <w:spacing w:after="120" w:line="259" w:lineRule="auto"/>
      </w:pPr>
      <w:r>
        <w:t>This appendix makes explicit the decisions that determine the benchmark’s estimand. It is included so that a future implementation can reproduce the same comparison without inferring choices from code or from the headline results. The appendix is procedural: it does not add new biological claims.</w:t>
      </w:r>
    </w:p>
    <w:p>
      <w:pPr>
        <w:pStyle w:val="Heading2"/>
        <w:keepNext/>
      </w:pPr>
      <w:r>
        <w:t>A.1. Analysis sequence</w:t>
      </w:r>
    </w:p>
    <w:p>
      <w:pPr>
        <w:spacing w:after="120" w:line="259" w:lineRule="auto"/>
      </w:pPr>
      <w:r>
        <w:t>The analysis sequence is: (i) identify the declared response rows and source dataset; (ii) normalize identifiers and join modality matrices; (iii) create grouped split manifests; (iv) fit all preprocessing steps on training rows; (v) select the feature budget separately within each modality; (vi) transform training and test rows; (vii) fit the same Ridge specification for each modality and fusion; (viii) calculate MAE and RMSE on the held-out response rows; and (ix) write metrics, row counts, and manifest identifiers to machine-readable result files. The order is part of the method and should not be changed when comparing extensions.</w:t>
      </w:r>
    </w:p>
    <w:p>
      <w:r>
        <w:rPr>
          <w:b/>
        </w:rPr>
        <w:t xml:space="preserve">Table 5. </w:t>
      </w:r>
      <w:r>
        <w:t>Reproducibility controls and their purpose.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pPr>
              <w:spacing w:after="0"/>
            </w:pPr>
            <w:r/>
            <w:r>
              <w:rPr>
                <w:b/>
                <w:sz w:val="16"/>
              </w:rPr>
              <w:t>Control</w:t>
            </w:r>
          </w:p>
        </w:tc>
        <w:tc>
          <w:tcPr>
            <w:tcW w:type="dxa" w:w="3264"/>
            <w:vAlign w:val="center"/>
            <w:shd w:fill="D9EAF7"/>
          </w:tcPr>
          <w:p>
            <w:pPr>
              <w:spacing w:after="0"/>
            </w:pPr>
            <w:r/>
            <w:r>
              <w:rPr>
                <w:b/>
                <w:sz w:val="16"/>
              </w:rPr>
              <w:t>Implementation</w:t>
            </w:r>
          </w:p>
        </w:tc>
        <w:tc>
          <w:tcPr>
            <w:tcW w:type="dxa" w:w="3264"/>
            <w:vAlign w:val="center"/>
            <w:shd w:fill="D9EAF7"/>
          </w:tcPr>
          <w:p>
            <w:pPr>
              <w:spacing w:after="0"/>
            </w:pPr>
            <w:r/>
            <w:r>
              <w:rPr>
                <w:b/>
                <w:sz w:val="16"/>
              </w:rPr>
              <w:t>Reason</w:t>
            </w:r>
          </w:p>
        </w:tc>
      </w:tr>
      <w:tr>
        <w:tc>
          <w:tcPr>
            <w:tcW w:type="dxa" w:w="3264"/>
            <w:vAlign w:val="center"/>
          </w:tcPr>
          <w:p>
            <w:pPr>
              <w:spacing w:after="0"/>
            </w:pPr>
            <w:r/>
            <w:r>
              <w:rPr>
                <w:b w:val="0"/>
                <w:sz w:val="16"/>
              </w:rPr>
              <w:t>Drug grouping</w:t>
            </w:r>
          </w:p>
        </w:tc>
        <w:tc>
          <w:tcPr>
            <w:tcW w:type="dxa" w:w="3264"/>
            <w:vAlign w:val="center"/>
          </w:tcPr>
          <w:p>
            <w:pPr>
              <w:spacing w:after="0"/>
            </w:pPr>
            <w:r/>
            <w:r>
              <w:rPr>
                <w:b w:val="0"/>
                <w:sz w:val="16"/>
              </w:rPr>
              <w:t>GroupShuffleSplit by drug_id_raw</w:t>
            </w:r>
          </w:p>
        </w:tc>
        <w:tc>
          <w:tcPr>
            <w:tcW w:type="dxa" w:w="3264"/>
            <w:vAlign w:val="center"/>
          </w:tcPr>
          <w:p>
            <w:pPr>
              <w:spacing w:after="0"/>
            </w:pPr>
            <w:r/>
            <w:r>
              <w:rPr>
                <w:b w:val="0"/>
                <w:sz w:val="16"/>
              </w:rPr>
              <w:t>Prevents the same drug response group crossing train/test</w:t>
            </w:r>
          </w:p>
        </w:tc>
      </w:tr>
      <w:tr>
        <w:tc>
          <w:tcPr>
            <w:tcW w:type="dxa" w:w="3264"/>
            <w:vAlign w:val="center"/>
          </w:tcPr>
          <w:p>
            <w:pPr>
              <w:spacing w:after="0"/>
            </w:pPr>
            <w:r/>
            <w:r>
              <w:rPr>
                <w:b w:val="0"/>
                <w:sz w:val="16"/>
              </w:rPr>
              <w:t>Feature selection</w:t>
            </w:r>
          </w:p>
        </w:tc>
        <w:tc>
          <w:tcPr>
            <w:tcW w:type="dxa" w:w="3264"/>
            <w:vAlign w:val="center"/>
          </w:tcPr>
          <w:p>
            <w:pPr>
              <w:spacing w:after="0"/>
            </w:pPr>
            <w:r/>
            <w:r>
              <w:rPr>
                <w:b w:val="0"/>
                <w:sz w:val="16"/>
              </w:rPr>
              <w:t>Top 2,000 per modality inside training fold</w:t>
            </w:r>
          </w:p>
        </w:tc>
        <w:tc>
          <w:tcPr>
            <w:tcW w:type="dxa" w:w="3264"/>
            <w:vAlign w:val="center"/>
          </w:tcPr>
          <w:p>
            <w:pPr>
              <w:spacing w:after="0"/>
            </w:pPr>
            <w:r/>
            <w:r>
              <w:rPr>
                <w:b w:val="0"/>
                <w:sz w:val="16"/>
              </w:rPr>
              <w:t>Prevents test-informed feature ranking</w:t>
            </w:r>
          </w:p>
        </w:tc>
      </w:tr>
      <w:tr>
        <w:tc>
          <w:tcPr>
            <w:tcW w:type="dxa" w:w="3264"/>
            <w:vAlign w:val="center"/>
          </w:tcPr>
          <w:p>
            <w:pPr>
              <w:spacing w:after="0"/>
            </w:pPr>
            <w:r/>
            <w:r>
              <w:rPr>
                <w:b w:val="0"/>
                <w:sz w:val="16"/>
              </w:rPr>
              <w:t>Imputation</w:t>
            </w:r>
          </w:p>
        </w:tc>
        <w:tc>
          <w:tcPr>
            <w:tcW w:type="dxa" w:w="3264"/>
            <w:vAlign w:val="center"/>
          </w:tcPr>
          <w:p>
            <w:pPr>
              <w:spacing w:after="0"/>
            </w:pPr>
            <w:r/>
            <w:r>
              <w:rPr>
                <w:b w:val="0"/>
                <w:sz w:val="16"/>
              </w:rPr>
              <w:t>Training-fold median applied to test rows</w:t>
            </w:r>
          </w:p>
        </w:tc>
        <w:tc>
          <w:tcPr>
            <w:tcW w:type="dxa" w:w="3264"/>
            <w:vAlign w:val="center"/>
          </w:tcPr>
          <w:p>
            <w:pPr>
              <w:spacing w:after="0"/>
            </w:pPr>
            <w:r/>
            <w:r>
              <w:rPr>
                <w:b w:val="0"/>
                <w:sz w:val="16"/>
              </w:rPr>
              <w:t>Avoids test-derived preprocessing parameters</w:t>
            </w:r>
          </w:p>
        </w:tc>
      </w:tr>
      <w:tr>
        <w:tc>
          <w:tcPr>
            <w:tcW w:type="dxa" w:w="3264"/>
            <w:vAlign w:val="center"/>
          </w:tcPr>
          <w:p>
            <w:pPr>
              <w:spacing w:after="0"/>
            </w:pPr>
            <w:r/>
            <w:r>
              <w:rPr>
                <w:b w:val="0"/>
                <w:sz w:val="16"/>
              </w:rPr>
              <w:t>Scaling</w:t>
            </w:r>
          </w:p>
        </w:tc>
        <w:tc>
          <w:tcPr>
            <w:tcW w:type="dxa" w:w="3264"/>
            <w:vAlign w:val="center"/>
          </w:tcPr>
          <w:p>
            <w:pPr>
              <w:spacing w:after="0"/>
            </w:pPr>
            <w:r/>
            <w:r>
              <w:rPr>
                <w:b w:val="0"/>
                <w:sz w:val="16"/>
              </w:rPr>
              <w:t>Training-fold standardization</w:t>
            </w:r>
          </w:p>
        </w:tc>
        <w:tc>
          <w:tcPr>
            <w:tcW w:type="dxa" w:w="3264"/>
            <w:vAlign w:val="center"/>
          </w:tcPr>
          <w:p>
            <w:pPr>
              <w:spacing w:after="0"/>
            </w:pPr>
            <w:r/>
            <w:r>
              <w:rPr>
                <w:b w:val="0"/>
                <w:sz w:val="16"/>
              </w:rPr>
              <w:t>Places feature blocks on a common fitted scale</w:t>
            </w:r>
          </w:p>
        </w:tc>
      </w:tr>
      <w:tr>
        <w:tc>
          <w:tcPr>
            <w:tcW w:type="dxa" w:w="3264"/>
            <w:vAlign w:val="center"/>
          </w:tcPr>
          <w:p>
            <w:pPr>
              <w:spacing w:after="0"/>
            </w:pPr>
            <w:r/>
            <w:r>
              <w:rPr>
                <w:b w:val="0"/>
                <w:sz w:val="16"/>
              </w:rPr>
              <w:t>Learner</w:t>
            </w:r>
          </w:p>
        </w:tc>
        <w:tc>
          <w:tcPr>
            <w:tcW w:type="dxa" w:w="3264"/>
            <w:vAlign w:val="center"/>
          </w:tcPr>
          <w:p>
            <w:pPr>
              <w:spacing w:after="0"/>
            </w:pPr>
            <w:r/>
            <w:r>
              <w:rPr>
                <w:b w:val="0"/>
                <w:sz w:val="16"/>
              </w:rPr>
              <w:t>Ridge, alpha=1.0 for every block</w:t>
            </w:r>
          </w:p>
        </w:tc>
        <w:tc>
          <w:tcPr>
            <w:tcW w:type="dxa" w:w="3264"/>
            <w:vAlign w:val="center"/>
          </w:tcPr>
          <w:p>
            <w:pPr>
              <w:spacing w:after="0"/>
            </w:pPr>
            <w:r/>
            <w:r>
              <w:rPr>
                <w:b w:val="0"/>
                <w:sz w:val="16"/>
              </w:rPr>
              <w:t>Keeps the model comparison controlled</w:t>
            </w:r>
          </w:p>
        </w:tc>
      </w:tr>
      <w:tr>
        <w:tc>
          <w:tcPr>
            <w:tcW w:type="dxa" w:w="3264"/>
            <w:vAlign w:val="center"/>
          </w:tcPr>
          <w:p>
            <w:pPr>
              <w:spacing w:after="0"/>
            </w:pPr>
            <w:r/>
            <w:r>
              <w:rPr>
                <w:b w:val="0"/>
                <w:sz w:val="16"/>
              </w:rPr>
              <w:t>Primary metrics</w:t>
            </w:r>
          </w:p>
        </w:tc>
        <w:tc>
          <w:tcPr>
            <w:tcW w:type="dxa" w:w="3264"/>
            <w:vAlign w:val="center"/>
          </w:tcPr>
          <w:p>
            <w:pPr>
              <w:spacing w:after="0"/>
            </w:pPr>
            <w:r/>
            <w:r>
              <w:rPr>
                <w:b w:val="0"/>
                <w:sz w:val="16"/>
              </w:rPr>
              <w:t>MAE and RMSE</w:t>
            </w:r>
          </w:p>
        </w:tc>
        <w:tc>
          <w:tcPr>
            <w:tcW w:type="dxa" w:w="3264"/>
            <w:vAlign w:val="center"/>
          </w:tcPr>
          <w:p>
            <w:pPr>
              <w:spacing w:after="0"/>
            </w:pPr>
            <w:r/>
            <w:r>
              <w:rPr>
                <w:b w:val="0"/>
                <w:sz w:val="16"/>
              </w:rPr>
              <w:t>Reports typical and squared-error sensitivity</w:t>
            </w:r>
          </w:p>
        </w:tc>
      </w:tr>
      <w:tr>
        <w:tc>
          <w:tcPr>
            <w:tcW w:type="dxa" w:w="3264"/>
            <w:vAlign w:val="center"/>
          </w:tcPr>
          <w:p>
            <w:pPr>
              <w:spacing w:after="0"/>
            </w:pPr>
            <w:r/>
            <w:r>
              <w:rPr>
                <w:b w:val="0"/>
                <w:sz w:val="16"/>
              </w:rPr>
              <w:t>Transfer test</w:t>
            </w:r>
          </w:p>
        </w:tc>
        <w:tc>
          <w:tcPr>
            <w:tcW w:type="dxa" w:w="3264"/>
            <w:vAlign w:val="center"/>
          </w:tcPr>
          <w:p>
            <w:pPr>
              <w:spacing w:after="0"/>
            </w:pPr>
            <w:r/>
            <w:r>
              <w:rPr>
                <w:b w:val="0"/>
                <w:sz w:val="16"/>
              </w:rPr>
              <w:t>Hold out one full source dataset</w:t>
            </w:r>
          </w:p>
        </w:tc>
        <w:tc>
          <w:tcPr>
            <w:tcW w:type="dxa" w:w="3264"/>
            <w:vAlign w:val="center"/>
          </w:tcPr>
          <w:p>
            <w:pPr>
              <w:spacing w:after="0"/>
            </w:pPr>
            <w:r/>
            <w:r>
              <w:rPr>
                <w:b w:val="0"/>
                <w:sz w:val="16"/>
              </w:rPr>
              <w:t>Measures domain transfer rather than same-drug replication</w:t>
            </w:r>
          </w:p>
        </w:tc>
      </w:tr>
    </w:tbl>
    <w:p>
      <w:pPr>
        <w:spacing w:after="40"/>
      </w:pPr>
    </w:p>
    <w:p>
      <w:pPr>
        <w:pStyle w:val="Heading2"/>
        <w:keepNext/>
      </w:pPr>
      <w:r>
        <w:t>A.2. Estimands and comparison rules</w:t>
      </w:r>
    </w:p>
    <w:p>
      <w:pPr>
        <w:spacing w:after="120" w:line="259" w:lineRule="auto"/>
      </w:pPr>
      <w:r>
        <w:t>The primary within-universe estimand is the change in held-out response error produced by concatenating the three modality blocks relative to expression alone under the same drug-grouped split. The primary transfer estimand is the analogous change when the response source is held out in full. A negative fusion-minus-expression RMSE indicates lower error for fusion; a positive value indicates lower error for expression. No statistical significance claim is made from the three seeds or three transfer folds, because these are repeated benchmark partitions rather than independent biological experiments.</w:t>
      </w:r>
    </w:p>
    <w:p>
      <w:pPr>
        <w:pStyle w:val="Heading2"/>
        <w:keepNext/>
      </w:pPr>
      <w:r>
        <w:t>A.3. Missingness and availability audit</w:t>
      </w:r>
    </w:p>
    <w:p>
      <w:pPr>
        <w:spacing w:after="120" w:line="259" w:lineRule="auto"/>
      </w:pPr>
      <w:r>
        <w:t>Availability was audited before interpreting fusion results. For each source table, the audit records the number of rows with each modality available, the number complete across all selected blocks, and the number requiring imputation. Outer joins are used for this audit because an inner join can conceal the extent of modality-specific attrition. These counts characterize the constructed analysis table; they are not estimates of missingness in all DepMap data.</w:t>
      </w:r>
    </w:p>
    <w:p>
      <w:r>
        <w:rPr>
          <w:b/>
        </w:rPr>
        <w:t xml:space="preserve">Table 6. </w:t>
      </w:r>
      <w:r>
        <w:t>Interpretation guardrails for the reported evidence.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pPr>
              <w:spacing w:after="0"/>
            </w:pPr>
            <w:r/>
            <w:r>
              <w:rPr>
                <w:b/>
                <w:sz w:val="16"/>
              </w:rPr>
              <w:t>Observed result</w:t>
            </w:r>
          </w:p>
        </w:tc>
        <w:tc>
          <w:tcPr>
            <w:tcW w:type="dxa" w:w="3264"/>
            <w:vAlign w:val="center"/>
            <w:shd w:fill="D9EAF7"/>
          </w:tcPr>
          <w:p>
            <w:pPr>
              <w:spacing w:after="0"/>
            </w:pPr>
            <w:r/>
            <w:r>
              <w:rPr>
                <w:b/>
                <w:sz w:val="16"/>
              </w:rPr>
              <w:t>Permitted interpretation</w:t>
            </w:r>
          </w:p>
        </w:tc>
        <w:tc>
          <w:tcPr>
            <w:tcW w:type="dxa" w:w="3264"/>
            <w:vAlign w:val="center"/>
            <w:shd w:fill="D9EAF7"/>
          </w:tcPr>
          <w:p>
            <w:pPr>
              <w:spacing w:after="0"/>
            </w:pPr>
            <w:r/>
            <w:r>
              <w:rPr>
                <w:b/>
                <w:sz w:val="16"/>
              </w:rPr>
              <w:t>Not supported</w:t>
            </w:r>
          </w:p>
        </w:tc>
      </w:tr>
      <w:tr>
        <w:tc>
          <w:tcPr>
            <w:tcW w:type="dxa" w:w="3264"/>
            <w:vAlign w:val="center"/>
          </w:tcPr>
          <w:p>
            <w:pPr>
              <w:spacing w:after="0"/>
            </w:pPr>
            <w:r/>
            <w:r>
              <w:rPr>
                <w:b w:val="0"/>
                <w:sz w:val="16"/>
              </w:rPr>
              <w:t>Fusion improves 2/3 drug-heldout seeds</w:t>
            </w:r>
          </w:p>
        </w:tc>
        <w:tc>
          <w:tcPr>
            <w:tcW w:type="dxa" w:w="3264"/>
            <w:vAlign w:val="center"/>
          </w:tcPr>
          <w:p>
            <w:pPr>
              <w:spacing w:after="0"/>
            </w:pPr>
            <w:r/>
            <w:r>
              <w:rPr>
                <w:b w:val="0"/>
                <w:sz w:val="16"/>
              </w:rPr>
              <w:t>Conditional improvement under this benchmark</w:t>
            </w:r>
          </w:p>
        </w:tc>
        <w:tc>
          <w:tcPr>
            <w:tcW w:type="dxa" w:w="3264"/>
            <w:vAlign w:val="center"/>
          </w:tcPr>
          <w:p>
            <w:pPr>
              <w:spacing w:after="0"/>
            </w:pPr>
            <w:r/>
            <w:r>
              <w:rPr>
                <w:b w:val="0"/>
                <w:sz w:val="16"/>
              </w:rPr>
              <w:t>Universal multimodal superiority</w:t>
            </w:r>
          </w:p>
        </w:tc>
      </w:tr>
      <w:tr>
        <w:tc>
          <w:tcPr>
            <w:tcW w:type="dxa" w:w="3264"/>
            <w:vAlign w:val="center"/>
          </w:tcPr>
          <w:p>
            <w:pPr>
              <w:spacing w:after="0"/>
            </w:pPr>
            <w:r/>
            <w:r>
              <w:rPr>
                <w:b w:val="0"/>
                <w:sz w:val="16"/>
              </w:rPr>
              <w:t>Fusion worsens all 3 LOOD folds</w:t>
            </w:r>
          </w:p>
        </w:tc>
        <w:tc>
          <w:tcPr>
            <w:tcW w:type="dxa" w:w="3264"/>
            <w:vAlign w:val="center"/>
          </w:tcPr>
          <w:p>
            <w:pPr>
              <w:spacing w:after="0"/>
            </w:pPr>
            <w:r/>
            <w:r>
              <w:rPr>
                <w:b w:val="0"/>
                <w:sz w:val="16"/>
              </w:rPr>
              <w:t>Transfer failure in these source-held-out folds</w:t>
            </w:r>
          </w:p>
        </w:tc>
        <w:tc>
          <w:tcPr>
            <w:tcW w:type="dxa" w:w="3264"/>
            <w:vAlign w:val="center"/>
          </w:tcPr>
          <w:p>
            <w:pPr>
              <w:spacing w:after="0"/>
            </w:pPr>
            <w:r/>
            <w:r>
              <w:rPr>
                <w:b w:val="0"/>
                <w:sz w:val="16"/>
              </w:rPr>
              <w:t>Proof of a biological incompatibility</w:t>
            </w:r>
          </w:p>
        </w:tc>
      </w:tr>
      <w:tr>
        <w:tc>
          <w:tcPr>
            <w:tcW w:type="dxa" w:w="3264"/>
            <w:vAlign w:val="center"/>
          </w:tcPr>
          <w:p>
            <w:pPr>
              <w:spacing w:after="0"/>
            </w:pPr>
            <w:r/>
            <w:r>
              <w:rPr>
                <w:b w:val="0"/>
                <w:sz w:val="16"/>
              </w:rPr>
              <w:t>Availability differs by dataset</w:t>
            </w:r>
          </w:p>
        </w:tc>
        <w:tc>
          <w:tcPr>
            <w:tcW w:type="dxa" w:w="3264"/>
            <w:vAlign w:val="center"/>
          </w:tcPr>
          <w:p>
            <w:pPr>
              <w:spacing w:after="0"/>
            </w:pPr>
            <w:r/>
            <w:r>
              <w:rPr>
                <w:b w:val="0"/>
                <w:sz w:val="16"/>
              </w:rPr>
              <w:t>Data structure is source-dependent</w:t>
            </w:r>
          </w:p>
        </w:tc>
        <w:tc>
          <w:tcPr>
            <w:tcW w:type="dxa" w:w="3264"/>
            <w:vAlign w:val="center"/>
          </w:tcPr>
          <w:p>
            <w:pPr>
              <w:spacing w:after="0"/>
            </w:pPr>
            <w:r/>
            <w:r>
              <w:rPr>
                <w:b w:val="0"/>
                <w:sz w:val="16"/>
              </w:rPr>
              <w:t>Missingness caused the error difference</w:t>
            </w:r>
          </w:p>
        </w:tc>
      </w:tr>
      <w:tr>
        <w:tc>
          <w:tcPr>
            <w:tcW w:type="dxa" w:w="3264"/>
            <w:vAlign w:val="center"/>
          </w:tcPr>
          <w:p>
            <w:pPr>
              <w:spacing w:after="0"/>
            </w:pPr>
            <w:r/>
            <w:r>
              <w:rPr>
                <w:b w:val="0"/>
                <w:sz w:val="16"/>
              </w:rPr>
              <w:t>Modality correlations are weak-to-moderate</w:t>
            </w:r>
          </w:p>
        </w:tc>
        <w:tc>
          <w:tcPr>
            <w:tcW w:type="dxa" w:w="3264"/>
            <w:vAlign w:val="center"/>
          </w:tcPr>
          <w:p>
            <w:pPr>
              <w:spacing w:after="0"/>
            </w:pPr>
            <w:r/>
            <w:r>
              <w:rPr>
                <w:b w:val="0"/>
                <w:sz w:val="16"/>
              </w:rPr>
              <w:t>Some redundancy and complementarity coexist</w:t>
            </w:r>
          </w:p>
        </w:tc>
        <w:tc>
          <w:tcPr>
            <w:tcW w:type="dxa" w:w="3264"/>
            <w:vAlign w:val="center"/>
          </w:tcPr>
          <w:p>
            <w:pPr>
              <w:spacing w:after="0"/>
            </w:pPr>
            <w:r/>
            <w:r>
              <w:rPr>
                <w:b w:val="0"/>
                <w:sz w:val="16"/>
              </w:rPr>
              <w:t>A causal redundancy mechanism</w:t>
            </w:r>
          </w:p>
        </w:tc>
      </w:tr>
      <w:tr>
        <w:tc>
          <w:tcPr>
            <w:tcW w:type="dxa" w:w="3264"/>
            <w:vAlign w:val="center"/>
          </w:tcPr>
          <w:p>
            <w:pPr>
              <w:spacing w:after="0"/>
            </w:pPr>
            <w:r/>
            <w:r>
              <w:rPr>
                <w:b w:val="0"/>
                <w:sz w:val="16"/>
              </w:rPr>
              <w:t>Ridge is reproducible and controlled</w:t>
            </w:r>
          </w:p>
        </w:tc>
        <w:tc>
          <w:tcPr>
            <w:tcW w:type="dxa" w:w="3264"/>
            <w:vAlign w:val="center"/>
          </w:tcPr>
          <w:p>
            <w:pPr>
              <w:spacing w:after="0"/>
            </w:pPr>
            <w:r/>
            <w:r>
              <w:rPr>
                <w:b w:val="0"/>
                <w:sz w:val="16"/>
              </w:rPr>
              <w:t>A transparent reference baseline</w:t>
            </w:r>
          </w:p>
        </w:tc>
        <w:tc>
          <w:tcPr>
            <w:tcW w:type="dxa" w:w="3264"/>
            <w:vAlign w:val="center"/>
          </w:tcPr>
          <w:p>
            <w:pPr>
              <w:spacing w:after="0"/>
            </w:pPr>
            <w:r/>
            <w:r>
              <w:rPr>
                <w:b w:val="0"/>
                <w:sz w:val="16"/>
              </w:rPr>
              <w:t>The best possible learner</w:t>
            </w:r>
          </w:p>
        </w:tc>
      </w:tr>
      <w:tr>
        <w:tc>
          <w:tcPr>
            <w:tcW w:type="dxa" w:w="3264"/>
            <w:vAlign w:val="center"/>
          </w:tcPr>
          <w:p>
            <w:pPr>
              <w:spacing w:after="0"/>
            </w:pPr>
            <w:r/>
            <w:r>
              <w:rPr>
                <w:b w:val="0"/>
                <w:sz w:val="16"/>
              </w:rPr>
              <w:t>15 compounds are declared</w:t>
            </w:r>
          </w:p>
        </w:tc>
        <w:tc>
          <w:tcPr>
            <w:tcW w:type="dxa" w:w="3264"/>
            <w:vAlign w:val="center"/>
          </w:tcPr>
          <w:p>
            <w:pPr>
              <w:spacing w:after="0"/>
            </w:pPr>
            <w:r/>
            <w:r>
              <w:rPr>
                <w:b w:val="0"/>
                <w:sz w:val="16"/>
              </w:rPr>
              <w:t>Results are bounded to the prespecified universe</w:t>
            </w:r>
          </w:p>
        </w:tc>
        <w:tc>
          <w:tcPr>
            <w:tcW w:type="dxa" w:w="3264"/>
            <w:vAlign w:val="center"/>
          </w:tcPr>
          <w:p>
            <w:pPr>
              <w:spacing w:after="0"/>
            </w:pPr>
            <w:r/>
            <w:r>
              <w:rPr>
                <w:b w:val="0"/>
                <w:sz w:val="16"/>
              </w:rPr>
              <w:t>Generalization to all compounds</w:t>
            </w:r>
          </w:p>
        </w:tc>
      </w:tr>
    </w:tbl>
    <w:p>
      <w:pPr>
        <w:spacing w:after="40"/>
      </w:pPr>
    </w:p>
    <w:p>
      <w:pPr>
        <w:pStyle w:val="Heading2"/>
        <w:keepNext/>
      </w:pPr>
      <w:r>
        <w:t>A.4. Recommended extensions</w:t>
      </w:r>
    </w:p>
    <w:p>
      <w:pPr>
        <w:spacing w:after="120" w:line="259" w:lineRule="auto"/>
      </w:pPr>
      <w:r>
        <w:t>The next validation layer should preserve the current manifests while adding a larger common-drug universe and a completely external test partition. Candidate model extensions include late fusion with modality-specific regularization, modality dropout during training, explicit missingness indicators, and domain adaptation. Each extension should retain expression-only and single-modality baselines, report the same error metrics, and separate model selection from final evaluation. This will allow improvements in architecture to be distinguished from improvements caused by a more favorable split or response harmonization.</w:t>
      </w:r>
    </w:p>
    <w:p>
      <w:pPr>
        <w:pStyle w:val="Heading2"/>
        <w:keepNext/>
      </w:pPr>
      <w:r>
        <w:t>A.5. Minimum reporting checklist for future comparisons</w:t>
      </w:r>
    </w:p>
    <w:p>
      <w:pPr>
        <w:spacing w:after="120" w:line="259" w:lineRule="auto"/>
      </w:pPr>
      <w:r>
        <w:t>For comparability, future benchmark reports should identify the data release, response scale, compound inclusion rule, cell-line identifier rule, modality availability rule, feature-selection scope, imputation scope, split grouping variable, number of repeated seeds, model-selection procedure, primary baseline, primary metric, and external-transfer target. They should also report the number of rows entering each fold and the number excluded or imputed. These fields are more informative for interpretation than a single pooled accuracy value.</w:t>
      </w:r>
    </w:p>
    <w:p>
      <w:r>
        <w:rPr>
          <w:b/>
        </w:rPr>
        <w:t xml:space="preserve">Table 7. </w:t>
      </w:r>
      <w:r>
        <w:t>Minimum fields to preserve with each future result table.</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pPr>
              <w:spacing w:after="0"/>
            </w:pPr>
            <w:r/>
            <w:r>
              <w:rPr>
                <w:b/>
                <w:sz w:val="16"/>
              </w:rPr>
              <w:t>Field</w:t>
            </w:r>
          </w:p>
        </w:tc>
        <w:tc>
          <w:tcPr>
            <w:tcW w:type="dxa" w:w="4896"/>
            <w:vAlign w:val="center"/>
            <w:shd w:fill="D9EAF7"/>
          </w:tcPr>
          <w:p>
            <w:pPr>
              <w:spacing w:after="0"/>
            </w:pPr>
            <w:r/>
            <w:r>
              <w:rPr>
                <w:b/>
                <w:sz w:val="16"/>
              </w:rPr>
              <w:t>Required record</w:t>
            </w:r>
          </w:p>
        </w:tc>
      </w:tr>
      <w:tr>
        <w:tc>
          <w:tcPr>
            <w:tcW w:type="dxa" w:w="4896"/>
            <w:vAlign w:val="center"/>
          </w:tcPr>
          <w:p>
            <w:pPr>
              <w:spacing w:after="0"/>
            </w:pPr>
            <w:r/>
            <w:r>
              <w:rPr>
                <w:b w:val="0"/>
                <w:sz w:val="16"/>
              </w:rPr>
              <w:t>Data provenance</w:t>
            </w:r>
          </w:p>
        </w:tc>
        <w:tc>
          <w:tcPr>
            <w:tcW w:type="dxa" w:w="4896"/>
            <w:vAlign w:val="center"/>
          </w:tcPr>
          <w:p>
            <w:pPr>
              <w:spacing w:after="0"/>
            </w:pPr>
            <w:r/>
            <w:r>
              <w:rPr>
                <w:b w:val="0"/>
                <w:sz w:val="16"/>
              </w:rPr>
              <w:t>Provider, release label, download date, checksum</w:t>
            </w:r>
          </w:p>
        </w:tc>
      </w:tr>
      <w:tr>
        <w:tc>
          <w:tcPr>
            <w:tcW w:type="dxa" w:w="4896"/>
            <w:vAlign w:val="center"/>
          </w:tcPr>
          <w:p>
            <w:pPr>
              <w:spacing w:after="0"/>
            </w:pPr>
            <w:r/>
            <w:r>
              <w:rPr>
                <w:b w:val="0"/>
                <w:sz w:val="16"/>
              </w:rPr>
              <w:t>Population</w:t>
            </w:r>
          </w:p>
        </w:tc>
        <w:tc>
          <w:tcPr>
            <w:tcW w:type="dxa" w:w="4896"/>
            <w:vAlign w:val="center"/>
          </w:tcPr>
          <w:p>
            <w:pPr>
              <w:spacing w:after="0"/>
            </w:pPr>
            <w:r/>
            <w:r>
              <w:rPr>
                <w:b w:val="0"/>
                <w:sz w:val="16"/>
              </w:rPr>
              <w:t>Dataset, compound list, cell-line identifier, row count</w:t>
            </w:r>
          </w:p>
        </w:tc>
      </w:tr>
      <w:tr>
        <w:tc>
          <w:tcPr>
            <w:tcW w:type="dxa" w:w="4896"/>
            <w:vAlign w:val="center"/>
          </w:tcPr>
          <w:p>
            <w:pPr>
              <w:spacing w:after="0"/>
            </w:pPr>
            <w:r/>
            <w:r>
              <w:rPr>
                <w:b w:val="0"/>
                <w:sz w:val="16"/>
              </w:rPr>
              <w:t>Preprocessing</w:t>
            </w:r>
          </w:p>
        </w:tc>
        <w:tc>
          <w:tcPr>
            <w:tcW w:type="dxa" w:w="4896"/>
            <w:vAlign w:val="center"/>
          </w:tcPr>
          <w:p>
            <w:pPr>
              <w:spacing w:after="0"/>
            </w:pPr>
            <w:r/>
            <w:r>
              <w:rPr>
                <w:b w:val="0"/>
                <w:sz w:val="16"/>
              </w:rPr>
              <w:t>Imputation, scaling, filtering, feature-selection order</w:t>
            </w:r>
          </w:p>
        </w:tc>
      </w:tr>
      <w:tr>
        <w:tc>
          <w:tcPr>
            <w:tcW w:type="dxa" w:w="4896"/>
            <w:vAlign w:val="center"/>
          </w:tcPr>
          <w:p>
            <w:pPr>
              <w:spacing w:after="0"/>
            </w:pPr>
            <w:r/>
            <w:r>
              <w:rPr>
                <w:b w:val="0"/>
                <w:sz w:val="16"/>
              </w:rPr>
              <w:t>Validation</w:t>
            </w:r>
          </w:p>
        </w:tc>
        <w:tc>
          <w:tcPr>
            <w:tcW w:type="dxa" w:w="4896"/>
            <w:vAlign w:val="center"/>
          </w:tcPr>
          <w:p>
            <w:pPr>
              <w:spacing w:after="0"/>
            </w:pPr>
            <w:r/>
            <w:r>
              <w:rPr>
                <w:b w:val="0"/>
                <w:sz w:val="16"/>
              </w:rPr>
              <w:t>Split type, grouping unit, seed, train/test counts</w:t>
            </w:r>
          </w:p>
        </w:tc>
      </w:tr>
      <w:tr>
        <w:tc>
          <w:tcPr>
            <w:tcW w:type="dxa" w:w="4896"/>
            <w:vAlign w:val="center"/>
          </w:tcPr>
          <w:p>
            <w:pPr>
              <w:spacing w:after="0"/>
            </w:pPr>
            <w:r/>
            <w:r>
              <w:rPr>
                <w:b w:val="0"/>
                <w:sz w:val="16"/>
              </w:rPr>
              <w:t>Model</w:t>
            </w:r>
          </w:p>
        </w:tc>
        <w:tc>
          <w:tcPr>
            <w:tcW w:type="dxa" w:w="4896"/>
            <w:vAlign w:val="center"/>
          </w:tcPr>
          <w:p>
            <w:pPr>
              <w:spacing w:after="0"/>
            </w:pPr>
            <w:r/>
            <w:r>
              <w:rPr>
                <w:b w:val="0"/>
                <w:sz w:val="16"/>
              </w:rPr>
              <w:t>Modality, learner, hyperparameters, feature count</w:t>
            </w:r>
          </w:p>
        </w:tc>
      </w:tr>
      <w:tr>
        <w:tc>
          <w:tcPr>
            <w:tcW w:type="dxa" w:w="4896"/>
            <w:vAlign w:val="center"/>
          </w:tcPr>
          <w:p>
            <w:pPr>
              <w:spacing w:after="0"/>
            </w:pPr>
            <w:r/>
            <w:r>
              <w:rPr>
                <w:b w:val="0"/>
                <w:sz w:val="16"/>
              </w:rPr>
              <w:t>Performance</w:t>
            </w:r>
          </w:p>
        </w:tc>
        <w:tc>
          <w:tcPr>
            <w:tcW w:type="dxa" w:w="4896"/>
            <w:vAlign w:val="center"/>
          </w:tcPr>
          <w:p>
            <w:pPr>
              <w:spacing w:after="0"/>
            </w:pPr>
            <w:r/>
            <w:r>
              <w:rPr>
                <w:b w:val="0"/>
                <w:sz w:val="16"/>
              </w:rPr>
              <w:t>MAE, RMSE, delta to expression baseline</w:t>
            </w:r>
          </w:p>
        </w:tc>
      </w:tr>
      <w:tr>
        <w:tc>
          <w:tcPr>
            <w:tcW w:type="dxa" w:w="4896"/>
            <w:vAlign w:val="center"/>
          </w:tcPr>
          <w:p>
            <w:pPr>
              <w:spacing w:after="0"/>
            </w:pPr>
            <w:r/>
            <w:r>
              <w:rPr>
                <w:b w:val="0"/>
                <w:sz w:val="16"/>
              </w:rPr>
              <w:t>Availability</w:t>
            </w:r>
          </w:p>
        </w:tc>
        <w:tc>
          <w:tcPr>
            <w:tcW w:type="dxa" w:w="4896"/>
            <w:vAlign w:val="center"/>
          </w:tcPr>
          <w:p>
            <w:pPr>
              <w:spacing w:after="0"/>
            </w:pPr>
            <w:r/>
            <w:r>
              <w:rPr>
                <w:b w:val="0"/>
                <w:sz w:val="16"/>
              </w:rPr>
              <w:t>Complete rows, modality-specific availability, missing rows</w:t>
            </w:r>
          </w:p>
        </w:tc>
      </w:tr>
      <w:tr>
        <w:tc>
          <w:tcPr>
            <w:tcW w:type="dxa" w:w="4896"/>
            <w:vAlign w:val="center"/>
          </w:tcPr>
          <w:p>
            <w:pPr>
              <w:spacing w:after="0"/>
            </w:pPr>
            <w:r/>
            <w:r>
              <w:rPr>
                <w:b w:val="0"/>
                <w:sz w:val="16"/>
              </w:rPr>
              <w:t>Interpretation</w:t>
            </w:r>
          </w:p>
        </w:tc>
        <w:tc>
          <w:tcPr>
            <w:tcW w:type="dxa" w:w="4896"/>
            <w:vAlign w:val="center"/>
          </w:tcPr>
          <w:p>
            <w:pPr>
              <w:spacing w:after="0"/>
            </w:pPr>
            <w:r/>
            <w:r>
              <w:rPr>
                <w:b w:val="0"/>
                <w:sz w:val="16"/>
              </w:rPr>
              <w:t>Transfer target, limitations, and whether claims are causal</w:t>
            </w:r>
          </w:p>
        </w:tc>
      </w:tr>
    </w:tbl>
    <w:p>
      <w:pPr>
        <w:spacing w:after="40"/>
      </w:pPr>
    </w:p>
    <w:p>
      <w:r/>
    </w:p>
    <w:p>
      <w:pPr>
        <w:pStyle w:val="Heading1"/>
        <w:keepNext/>
      </w:pPr>
      <w:r>
        <w:t>Supplementary material</w:t>
      </w:r>
    </w:p>
    <w:p>
      <w:pPr>
        <w:spacing w:after="120" w:line="259" w:lineRule="auto"/>
      </w:pPr>
      <w:r>
        <w:t>Supplementary Table S1 reports the complete/missing test-row counts for the three drug-heldout seeds. Supplementary Table S2 records the frozen artifact and validation scope. Figures are supplied separately in the submission package.</w:t>
      </w:r>
    </w:p>
    <w:p>
      <w:r>
        <w:rPr>
          <w:b/>
        </w:rPr>
        <w:t xml:space="preserve">Supplementary Table S1. </w:t>
      </w:r>
      <w:r>
        <w:t>Drug-held-out missingness strata.</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AF7"/>
          </w:tcPr>
          <w:p>
            <w:pPr>
              <w:spacing w:after="0"/>
            </w:pPr>
            <w:r/>
            <w:r>
              <w:rPr>
                <w:b/>
                <w:sz w:val="16"/>
              </w:rPr>
              <w:t>Seed</w:t>
            </w:r>
          </w:p>
        </w:tc>
        <w:tc>
          <w:tcPr>
            <w:tcW w:type="dxa" w:w="2448"/>
            <w:vAlign w:val="center"/>
            <w:shd w:fill="D9EAF7"/>
          </w:tcPr>
          <w:p>
            <w:pPr>
              <w:spacing w:after="0"/>
            </w:pPr>
            <w:r/>
            <w:r>
              <w:rPr>
                <w:b/>
                <w:sz w:val="16"/>
              </w:rPr>
              <w:t>Complete rows</w:t>
            </w:r>
          </w:p>
        </w:tc>
        <w:tc>
          <w:tcPr>
            <w:tcW w:type="dxa" w:w="2448"/>
            <w:vAlign w:val="center"/>
            <w:shd w:fill="D9EAF7"/>
          </w:tcPr>
          <w:p>
            <w:pPr>
              <w:spacing w:after="0"/>
            </w:pPr>
            <w:r/>
            <w:r>
              <w:rPr>
                <w:b/>
                <w:sz w:val="16"/>
              </w:rPr>
              <w:t>Missing rows</w:t>
            </w:r>
          </w:p>
        </w:tc>
        <w:tc>
          <w:tcPr>
            <w:tcW w:type="dxa" w:w="2448"/>
            <w:vAlign w:val="center"/>
            <w:shd w:fill="D9EAF7"/>
          </w:tcPr>
          <w:p>
            <w:pPr>
              <w:spacing w:after="0"/>
            </w:pPr>
            <w:r/>
            <w:r>
              <w:rPr>
                <w:b/>
                <w:sz w:val="16"/>
              </w:rPr>
              <w:t>Total rows</w:t>
            </w:r>
          </w:p>
        </w:tc>
      </w:tr>
      <w:tr>
        <w:tc>
          <w:tcPr>
            <w:tcW w:type="dxa" w:w="2448"/>
            <w:vAlign w:val="center"/>
          </w:tcPr>
          <w:p>
            <w:pPr>
              <w:spacing w:after="0"/>
            </w:pPr>
            <w:r/>
            <w:r>
              <w:rPr>
                <w:b w:val="0"/>
                <w:sz w:val="16"/>
              </w:rPr>
              <w:t>20260821</w:t>
            </w:r>
          </w:p>
        </w:tc>
        <w:tc>
          <w:tcPr>
            <w:tcW w:type="dxa" w:w="2448"/>
            <w:vAlign w:val="center"/>
          </w:tcPr>
          <w:p>
            <w:pPr>
              <w:spacing w:after="0"/>
            </w:pPr>
            <w:r/>
            <w:r>
              <w:rPr>
                <w:b w:val="0"/>
                <w:sz w:val="16"/>
              </w:rPr>
              <w:t>1513</w:t>
            </w:r>
          </w:p>
        </w:tc>
        <w:tc>
          <w:tcPr>
            <w:tcW w:type="dxa" w:w="2448"/>
            <w:vAlign w:val="center"/>
          </w:tcPr>
          <w:p>
            <w:pPr>
              <w:spacing w:after="0"/>
            </w:pPr>
            <w:r/>
            <w:r>
              <w:rPr>
                <w:b w:val="0"/>
                <w:sz w:val="16"/>
              </w:rPr>
              <w:t>1046</w:t>
            </w:r>
          </w:p>
        </w:tc>
        <w:tc>
          <w:tcPr>
            <w:tcW w:type="dxa" w:w="2448"/>
            <w:vAlign w:val="center"/>
          </w:tcPr>
          <w:p>
            <w:pPr>
              <w:spacing w:after="0"/>
            </w:pPr>
            <w:r/>
            <w:r>
              <w:rPr>
                <w:b w:val="0"/>
                <w:sz w:val="16"/>
              </w:rPr>
              <w:t>2559</w:t>
            </w:r>
          </w:p>
        </w:tc>
      </w:tr>
      <w:tr>
        <w:tc>
          <w:tcPr>
            <w:tcW w:type="dxa" w:w="2448"/>
            <w:vAlign w:val="center"/>
          </w:tcPr>
          <w:p>
            <w:pPr>
              <w:spacing w:after="0"/>
            </w:pPr>
            <w:r/>
            <w:r>
              <w:rPr>
                <w:b w:val="0"/>
                <w:sz w:val="16"/>
              </w:rPr>
              <w:t>20260822</w:t>
            </w:r>
          </w:p>
        </w:tc>
        <w:tc>
          <w:tcPr>
            <w:tcW w:type="dxa" w:w="2448"/>
            <w:vAlign w:val="center"/>
          </w:tcPr>
          <w:p>
            <w:pPr>
              <w:spacing w:after="0"/>
            </w:pPr>
            <w:r/>
            <w:r>
              <w:rPr>
                <w:b w:val="0"/>
                <w:sz w:val="16"/>
              </w:rPr>
              <w:t>1458</w:t>
            </w:r>
          </w:p>
        </w:tc>
        <w:tc>
          <w:tcPr>
            <w:tcW w:type="dxa" w:w="2448"/>
            <w:vAlign w:val="center"/>
          </w:tcPr>
          <w:p>
            <w:pPr>
              <w:spacing w:after="0"/>
            </w:pPr>
            <w:r/>
            <w:r>
              <w:rPr>
                <w:b w:val="0"/>
                <w:sz w:val="16"/>
              </w:rPr>
              <w:t>1271</w:t>
            </w:r>
          </w:p>
        </w:tc>
        <w:tc>
          <w:tcPr>
            <w:tcW w:type="dxa" w:w="2448"/>
            <w:vAlign w:val="center"/>
          </w:tcPr>
          <w:p>
            <w:pPr>
              <w:spacing w:after="0"/>
            </w:pPr>
            <w:r/>
            <w:r>
              <w:rPr>
                <w:b w:val="0"/>
                <w:sz w:val="16"/>
              </w:rPr>
              <w:t>2729</w:t>
            </w:r>
          </w:p>
        </w:tc>
      </w:tr>
      <w:tr>
        <w:tc>
          <w:tcPr>
            <w:tcW w:type="dxa" w:w="2448"/>
            <w:vAlign w:val="center"/>
          </w:tcPr>
          <w:p>
            <w:pPr>
              <w:spacing w:after="0"/>
            </w:pPr>
            <w:r/>
            <w:r>
              <w:rPr>
                <w:b w:val="0"/>
                <w:sz w:val="16"/>
              </w:rPr>
              <w:t>20260823</w:t>
            </w:r>
          </w:p>
        </w:tc>
        <w:tc>
          <w:tcPr>
            <w:tcW w:type="dxa" w:w="2448"/>
            <w:vAlign w:val="center"/>
          </w:tcPr>
          <w:p>
            <w:pPr>
              <w:spacing w:after="0"/>
            </w:pPr>
            <w:r/>
            <w:r>
              <w:rPr>
                <w:b w:val="0"/>
                <w:sz w:val="16"/>
              </w:rPr>
              <w:t>1530</w:t>
            </w:r>
          </w:p>
        </w:tc>
        <w:tc>
          <w:tcPr>
            <w:tcW w:type="dxa" w:w="2448"/>
            <w:vAlign w:val="center"/>
          </w:tcPr>
          <w:p>
            <w:pPr>
              <w:spacing w:after="0"/>
            </w:pPr>
            <w:r/>
            <w:r>
              <w:rPr>
                <w:b w:val="0"/>
                <w:sz w:val="16"/>
              </w:rPr>
              <w:t>1078</w:t>
            </w:r>
          </w:p>
        </w:tc>
        <w:tc>
          <w:tcPr>
            <w:tcW w:type="dxa" w:w="2448"/>
            <w:vAlign w:val="center"/>
          </w:tcPr>
          <w:p>
            <w:pPr>
              <w:spacing w:after="0"/>
            </w:pPr>
            <w:r/>
            <w:r>
              <w:rPr>
                <w:b w:val="0"/>
                <w:sz w:val="16"/>
              </w:rPr>
              <w:t>2608</w:t>
            </w:r>
          </w:p>
        </w:tc>
      </w:tr>
    </w:tbl>
    <w:p>
      <w:pPr>
        <w:spacing w:after="40"/>
      </w:pPr>
    </w:p>
    <w:p>
      <w:r>
        <w:rPr>
          <w:b/>
        </w:rPr>
        <w:t xml:space="preserve">Supplementary Table S2. </w:t>
      </w:r>
      <w:r>
        <w:t>Release scope and limitations.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pPr>
              <w:spacing w:after="0"/>
            </w:pPr>
            <w:r/>
            <w:r>
              <w:rPr>
                <w:b/>
                <w:sz w:val="16"/>
              </w:rPr>
              <w:t>Item</w:t>
            </w:r>
          </w:p>
        </w:tc>
        <w:tc>
          <w:tcPr>
            <w:tcW w:type="dxa" w:w="4896"/>
            <w:vAlign w:val="center"/>
            <w:shd w:fill="D9EAF7"/>
          </w:tcPr>
          <w:p>
            <w:pPr>
              <w:spacing w:after="0"/>
            </w:pPr>
            <w:r/>
            <w:r>
              <w:rPr>
                <w:b/>
                <w:sz w:val="16"/>
              </w:rPr>
              <w:t>Status</w:t>
            </w:r>
          </w:p>
        </w:tc>
      </w:tr>
      <w:tr>
        <w:tc>
          <w:tcPr>
            <w:tcW w:type="dxa" w:w="4896"/>
            <w:vAlign w:val="center"/>
          </w:tcPr>
          <w:p>
            <w:pPr>
              <w:spacing w:after="0"/>
            </w:pPr>
            <w:r/>
            <w:r>
              <w:rPr>
                <w:b w:val="0"/>
                <w:sz w:val="16"/>
              </w:rPr>
              <w:t>Evaluation universe</w:t>
            </w:r>
          </w:p>
        </w:tc>
        <w:tc>
          <w:tcPr>
            <w:tcW w:type="dxa" w:w="4896"/>
            <w:vAlign w:val="center"/>
          </w:tcPr>
          <w:p>
            <w:pPr>
              <w:spacing w:after="0"/>
            </w:pPr>
            <w:r/>
            <w:r>
              <w:rPr>
                <w:b w:val="0"/>
                <w:sz w:val="16"/>
              </w:rPr>
              <w:t>15 prespecified compounds across GDSC1, GDSC2, CTD²</w:t>
            </w:r>
          </w:p>
        </w:tc>
      </w:tr>
      <w:tr>
        <w:tc>
          <w:tcPr>
            <w:tcW w:type="dxa" w:w="4896"/>
            <w:vAlign w:val="center"/>
          </w:tcPr>
          <w:p>
            <w:pPr>
              <w:spacing w:after="0"/>
            </w:pPr>
            <w:r/>
            <w:r>
              <w:rPr>
                <w:b w:val="0"/>
                <w:sz w:val="16"/>
              </w:rPr>
              <w:t>Drug-heldout validation</w:t>
            </w:r>
          </w:p>
        </w:tc>
        <w:tc>
          <w:tcPr>
            <w:tcW w:type="dxa" w:w="4896"/>
            <w:vAlign w:val="center"/>
          </w:tcPr>
          <w:p>
            <w:pPr>
              <w:spacing w:after="0"/>
            </w:pPr>
            <w:r/>
            <w:r>
              <w:rPr>
                <w:b w:val="0"/>
                <w:sz w:val="16"/>
              </w:rPr>
              <w:t>3 persisted seeds; fold-local top-2,000 features</w:t>
            </w:r>
          </w:p>
        </w:tc>
      </w:tr>
      <w:tr>
        <w:tc>
          <w:tcPr>
            <w:tcW w:type="dxa" w:w="4896"/>
            <w:vAlign w:val="center"/>
          </w:tcPr>
          <w:p>
            <w:pPr>
              <w:spacing w:after="0"/>
            </w:pPr>
            <w:r/>
            <w:r>
              <w:rPr>
                <w:b w:val="0"/>
                <w:sz w:val="16"/>
              </w:rPr>
              <w:t>Cross-study validation</w:t>
            </w:r>
          </w:p>
        </w:tc>
        <w:tc>
          <w:tcPr>
            <w:tcW w:type="dxa" w:w="4896"/>
            <w:vAlign w:val="center"/>
          </w:tcPr>
          <w:p>
            <w:pPr>
              <w:spacing w:after="0"/>
            </w:pPr>
            <w:r/>
            <w:r>
              <w:rPr>
                <w:b w:val="0"/>
                <w:sz w:val="16"/>
              </w:rPr>
              <w:t>LOOD folds for CTD2, GDSC1, and GDSC2</w:t>
            </w:r>
          </w:p>
        </w:tc>
      </w:tr>
      <w:tr>
        <w:tc>
          <w:tcPr>
            <w:tcW w:type="dxa" w:w="4896"/>
            <w:vAlign w:val="center"/>
          </w:tcPr>
          <w:p>
            <w:pPr>
              <w:spacing w:after="0"/>
            </w:pPr>
            <w:r/>
            <w:r>
              <w:rPr>
                <w:b w:val="0"/>
                <w:sz w:val="16"/>
              </w:rPr>
              <w:t>MoA mapping</w:t>
            </w:r>
          </w:p>
        </w:tc>
        <w:tc>
          <w:tcPr>
            <w:tcW w:type="dxa" w:w="4896"/>
            <w:vAlign w:val="center"/>
          </w:tcPr>
          <w:p>
            <w:pPr>
              <w:spacing w:after="0"/>
            </w:pPr>
            <w:r/>
            <w:r>
              <w:rPr>
                <w:b w:val="0"/>
                <w:sz w:val="16"/>
              </w:rPr>
              <w:t>15/15 declared compounds; 5/316 full GDSC1 universe</w:t>
            </w:r>
          </w:p>
        </w:tc>
      </w:tr>
      <w:tr>
        <w:tc>
          <w:tcPr>
            <w:tcW w:type="dxa" w:w="4896"/>
            <w:vAlign w:val="center"/>
          </w:tcPr>
          <w:p>
            <w:pPr>
              <w:spacing w:after="0"/>
            </w:pPr>
            <w:r/>
            <w:r>
              <w:rPr>
                <w:b w:val="0"/>
                <w:sz w:val="16"/>
              </w:rPr>
              <w:t>Raw data</w:t>
            </w:r>
          </w:p>
        </w:tc>
        <w:tc>
          <w:tcPr>
            <w:tcW w:type="dxa" w:w="4896"/>
            <w:vAlign w:val="center"/>
          </w:tcPr>
          <w:p>
            <w:pPr>
              <w:spacing w:after="0"/>
            </w:pPr>
            <w:r/>
            <w:r>
              <w:rPr>
                <w:b w:val="0"/>
                <w:sz w:val="16"/>
              </w:rPr>
              <w:t>Provider files not redistributed; checksums recorded</w:t>
            </w:r>
          </w:p>
        </w:tc>
      </w:tr>
    </w:tbl>
    <w:p>
      <w:pPr>
        <w:spacing w:after="40"/>
      </w:pP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