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When More Omics Is Not Always Better: Drug- and Dataset-Conditional Value of Multimodal Cancer Pharmacogenomics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 = 1.0. Fusion concatenates the three selected modality blocks (6,000 features).</w:t>
      </w:r>
    </w:p>
    <w:p>
      <w:pPr>
        <w:spacing w:after="120" w:line="252" w:lineRule="auto"/>
      </w:pPr>
      <w:r>
        <w:t>Supplementary Table S1. Declared compound universe and source-specific response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Compound identifier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Response rows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Cell lines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 RIBONUCLEOTIDE (GDSC1:1001)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 (GDSC1:374)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 (GDSC1:342)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 (GDSC1:264)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 (GDSC1:363)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 (GDSC2:1862)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 (GDSC2:1053)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 (GDSC2:1011)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 (GDSC2:1058)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 (GDSC2:1034)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 B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</w:tr>
    </w:tbl>
    <w:p/>
    <w:p>
      <w:pPr>
        <w:spacing w:after="120" w:line="252" w:lineRule="auto"/>
      </w:pPr>
      <w:r>
        <w:t>Drug-held-out splits use GroupShuffleSplit with drug_id_raw as the grouping variable, test fraction 0.2, and persisted seeds 20260821 through 20260825. Leave-one-dataset-out folds hold out CTD²,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full_universe_drug_split_20260824.json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full_universe_drug_split_20260825.json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0.1955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0.1991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CN-Expr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Expr-Mut.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CN-Mut.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drug-held-out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outputs/figures/composite_validation.png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summary figure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scripts/generate_composite_figure.py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figure generator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drug-held-out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Decision audit</w:t>
      </w:r>
    </w:p>
    <w:p>
      <w:pPr>
        <w:spacing w:after="120" w:line="252" w:lineRule="auto"/>
      </w:pPr>
      <w:r>
        <w:t>The decision tree in Figure 4 summarizes the main practical path. This section records the detailed decisions that produced the final estimand.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Decision point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Options considered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Decision used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Reason and consequence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Primary use case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Clinical prediction; drug discovery support; methodological benchmark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Methodological benchmark with early drug-discovery relevance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The data are public cell-line screens and do not support clinical or regulatory claims.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 inputs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Drug-aware versus cell-line-only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Cell-line-only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chemical, target, mechanism, dose, or fingerprint features were included; drug-held-out claims are narrow.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Compound scope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All available compounds versus declared subset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Five compounds per source, 15 total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Balanced source scope with locked identifiers; not representative of the full drug universe.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Random rows; grouped drug splits; source-held-out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Five grouped drug splits plus LOOD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 conditional transfer and source portability while limiting leakage.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Feature selection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Precomputed candidate tables versus full raw universe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Fold-local selection from full raw modality tables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Prevents test-fold selection leakage; 2,000 features per modality.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 budget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Equal total budget versus 2,000 per modality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2,000 per modality, 6,000 fusion features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Transparent but not complexity-matched; equal-budget and tuned-penalty analyses remain future work.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Missingness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Complete-case filtering versus imputation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Outer-join audit plus training-fold median imputation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Preserves rows and exposes availability; does not test missingness-aware architectures.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Learner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Broad model comparison versus fixed reference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Ridge alpha = 1.0 with early concatenation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Reproducible reference; conclusions do not generalize to all fusion architectures.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Interpretation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Universal multimodal claim versus conditional result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Conditional, validation-dependent conclusion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The observed delta is small, variable, and not causal.</w:t>
            </w:r>
          </w:p>
        </w:tc>
      </w:tr>
    </w:tbl>
    <w:p/>
    <w:p>
      <w:pPr>
        <w:spacing w:after="120" w:line="252" w:lineRule="auto"/>
      </w:pPr>
      <w:r>
        <w:t>The decision audit is intended to prevent later changes in scope, split unit, feature budget, or preprocessing from being presented as a direct replication of the reported benchmark.</w:t>
      </w:r>
    </w:p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declared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