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bidi w:val="0"/>
        <w:ind w:hanging="0" w:start="0" w:end="0"/>
        <w:jc w:val="both"/>
        <w:rPr>
          <w:rFonts w:ascii="Arial" w:hAnsi="Arial"/>
          <w:sz w:val="24"/>
          <w:szCs w:val="24"/>
        </w:rPr>
      </w:pPr>
      <w:r>
        <w:rPr>
          <w:rFonts w:ascii="Arial" w:hAnsi="Arial"/>
          <w:b/>
          <w:sz w:val="24"/>
          <w:szCs w:val="24"/>
        </w:rPr>
        <w:t>Response to Reviewers</w:t>
      </w:r>
    </w:p>
    <w:p>
      <w:pPr>
        <w:pStyle w:val="Normal"/>
        <w:widowControl/>
        <w:bidi w:val="0"/>
        <w:ind w:hanging="0" w:start="0" w:end="0"/>
        <w:jc w:val="both"/>
        <w:rPr>
          <w:rFonts w:ascii="Arial" w:hAnsi="Arial"/>
          <w:sz w:val="24"/>
          <w:szCs w:val="24"/>
        </w:rPr>
      </w:pPr>
      <w:r>
        <w:t>Journal of Pharmaceutical and BioTech Industry</w:t>
        <w:br/>
        <w:t>Manuscript ID: jpbi-4567094</w:t>
        <w:br/>
        <w:t>Title: When More Omics Is Not Always Better: Drug- and Dataset-Conditional Value of Multimodal Cancer Pharmacogenomics</w:t>
      </w:r>
    </w:p>
    <w:p>
      <w:pPr>
        <w:pStyle w:val="Normal"/>
        <w:widowControl/>
        <w:bidi w:val="0"/>
        <w:ind w:hanging="0" w:start="0" w:end="0"/>
        <w:jc w:val="both"/>
        <w:rPr>
          <w:rFonts w:ascii="Arial" w:hAnsi="Arial"/>
          <w:sz w:val="24"/>
          <w:szCs w:val="24"/>
        </w:rPr>
      </w:pPr>
      <w:r>
        <w:rPr>
          <w:rFonts w:ascii="Arial" w:hAnsi="Arial"/>
          <w:sz w:val="24"/>
          <w:szCs w:val="24"/>
        </w:rPr>
        <w:t>Dear Editor and Reviewers,</w:t>
      </w:r>
    </w:p>
    <w:p>
      <w:pPr>
        <w:pStyle w:val="Normal"/>
        <w:widowControl/>
        <w:bidi w:val="0"/>
        <w:ind w:hanging="0" w:start="0" w:end="0"/>
        <w:jc w:val="both"/>
        <w:rPr>
          <w:rFonts w:ascii="Arial" w:hAnsi="Arial"/>
          <w:sz w:val="24"/>
          <w:szCs w:val="24"/>
        </w:rPr>
      </w:pPr>
      <w:r>
        <w:t>I thank the editor and reviewers for their careful and constructive assessment. I revised the manuscript toward a narrower and more reproducible claim. The study is now explicitly framed as a fixed Ridge early-fusion benchmark using cell-line molecular features, not as a general drug-aware prediction framework. I clarified dataset and mutation provenance, softened LOOD interpretation, expanded uncertainty and compound-level reporting, simplified the main figures, and strengthened the reproducibility statement. The code and derived artifacts are now publicly archived at https://doi.org/10.5281/zenodo.23054361.</w:t>
      </w:r>
    </w:p>
    <w:p>
      <w:pPr>
        <w:pStyle w:val="Normal"/>
        <w:widowControl/>
        <w:bidi w:val="0"/>
        <w:ind w:hanging="0" w:start="0" w:end="0"/>
        <w:jc w:val="both"/>
        <w:rPr>
          <w:rFonts w:ascii="Arial" w:hAnsi="Arial"/>
          <w:sz w:val="24"/>
          <w:szCs w:val="24"/>
        </w:rPr>
      </w:pPr>
      <w:r>
        <w:rPr>
          <w:rFonts w:ascii="Arial" w:hAnsi="Arial"/>
          <w:sz w:val="24"/>
          <w:szCs w:val="24"/>
        </w:rP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widowControl/>
        <w:bidi w:val="0"/>
        <w:ind w:hanging="0" w:start="0" w:end="0"/>
        <w:jc w:val="both"/>
        <w:rPr>
          <w:rFonts w:ascii="Arial" w:hAnsi="Arial"/>
          <w:sz w:val="24"/>
          <w:szCs w:val="24"/>
        </w:rPr>
      </w:pPr>
      <w:r>
        <w:rPr>
          <w:rFonts w:ascii="Arial" w:hAnsi="Arial"/>
          <w:sz w:val="24"/>
          <w:szCs w:val="24"/>
        </w:rPr>
        <w:t>Reviewer 1</w:t>
      </w:r>
    </w:p>
    <w:p>
      <w:pPr>
        <w:pStyle w:val="Heading2"/>
        <w:widowControl/>
        <w:bidi w:val="0"/>
        <w:ind w:hanging="0" w:start="0" w:end="0"/>
        <w:jc w:val="both"/>
        <w:rPr>
          <w:rFonts w:ascii="Arial" w:hAnsi="Arial"/>
          <w:sz w:val="24"/>
          <w:szCs w:val="24"/>
        </w:rPr>
      </w:pPr>
      <w:r>
        <w:rPr>
          <w:rFonts w:ascii="Arial" w:hAnsi="Arial"/>
          <w:sz w:val="24"/>
          <w:szCs w:val="24"/>
        </w:rPr>
        <w:t>Comment 1: Dataset description and response-scale comparability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datasets are insufficiently described. Please report the AUC distributions, scales, sample sizes, feature numbers, and missingness patterns for each dataset. Because response scales differ across GDSC1, GDSC2, and CTD², RMSE values are not directly comparable.</w:t>
      </w:r>
    </w:p>
    <w:p>
      <w:pPr>
        <w:pStyle w:val="Normal"/>
        <w:widowControl/>
        <w:bidi w:val="0"/>
        <w:ind w:hanging="0" w:start="0" w:end="0"/>
        <w:jc w:val="both"/>
        <w:rPr>
          <w:rFonts w:ascii="Arial" w:hAnsi="Arial"/>
          <w:sz w:val="24"/>
          <w:szCs w:val="24"/>
        </w:rPr>
      </w:pPr>
      <w:r>
        <w:t>Response: I added a dataset-characterization table reporting the selected compounds, response rows, unique cell lines, AUC minimum, quartiles, median, maximum, raw feature counts, and modality coverage for GDSC1, GDSC2, and CTD². I now state that source-specific response values are retained without cross-dataset rescaling and that RMSE and MAE are interpreted within dataset and validation fold, not used to rank cross-dataset difficulty. See clean manuscript lines 22-29 and Table 1. I also separated the tables from the manuscript file for submission and retained the machine-readable dataset-characterization artifact in the public release. This makes the response-scale limitation explicit rather than implying that a pooled RMSE compares assay systems on a common scale.</w:t>
      </w:r>
    </w:p>
    <w:p>
      <w:pPr>
        <w:pStyle w:val="Heading2"/>
        <w:widowControl/>
        <w:bidi w:val="0"/>
        <w:ind w:hanging="0" w:start="0" w:end="0"/>
        <w:jc w:val="both"/>
        <w:rPr>
          <w:rFonts w:ascii="Arial" w:hAnsi="Arial"/>
          <w:sz w:val="24"/>
          <w:szCs w:val="24"/>
        </w:rPr>
      </w:pPr>
      <w:r>
        <w:rPr>
          <w:rFonts w:ascii="Arial" w:hAnsi="Arial"/>
          <w:sz w:val="24"/>
          <w:szCs w:val="24"/>
        </w:rPr>
        <w:t>Comment 2: LOOD confounding</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leave-one-dataset-out analysis is confounded by simultaneous differences in dataset source, drugs, cell lines, assay protocols, and response scales. Therefore, poorer fusion performance cannot be attributed solely to multimodal integration.</w:t>
      </w:r>
    </w:p>
    <w:p>
      <w:pPr>
        <w:pStyle w:val="Normal"/>
        <w:widowControl/>
        <w:bidi w:val="0"/>
        <w:ind w:hanging="0" w:start="0" w:end="0"/>
        <w:jc w:val="both"/>
        <w:rPr>
          <w:rFonts w:ascii="Arial" w:hAnsi="Arial"/>
          <w:sz w:val="24"/>
          <w:szCs w:val="24"/>
        </w:rPr>
      </w:pPr>
      <w:r>
        <w:t>Response: I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clean manuscript lines 60-61 and 70-71. The revised text therefore treats the LOOD result as evidence about transfer of the complete data and modeling pipeline. It does not identify multimodal integration as the cause of any degradation, and I removed wording that could be read as a causal attribution.</w:t>
      </w:r>
    </w:p>
    <w:p>
      <w:pPr>
        <w:pStyle w:val="Heading2"/>
        <w:widowControl/>
        <w:bidi w:val="0"/>
        <w:ind w:hanging="0" w:start="0" w:end="0"/>
        <w:jc w:val="both"/>
        <w:rPr>
          <w:rFonts w:ascii="Arial" w:hAnsi="Arial"/>
          <w:sz w:val="24"/>
          <w:szCs w:val="24"/>
        </w:rPr>
      </w:pPr>
      <w:r>
        <w:rPr>
          <w:rFonts w:ascii="Arial" w:hAnsi="Arial"/>
          <w:sz w:val="24"/>
          <w:szCs w:val="24"/>
        </w:rPr>
        <w:t>Comment 3: Modeling pipeline details and unseen drugs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pPr>
        <w:pStyle w:val="Normal"/>
        <w:widowControl/>
        <w:bidi w:val="0"/>
        <w:ind w:hanging="0" w:start="0" w:end="0"/>
        <w:jc w:val="both"/>
        <w:rPr>
          <w:rFonts w:ascii="Arial" w:hAnsi="Arial"/>
          <w:sz w:val="24"/>
          <w:szCs w:val="24"/>
        </w:rPr>
      </w:pPr>
      <w:r>
        <w:t>Response: I expanded the Methods to describe compound inclusion, depmap_id matching, provider-supplied damaging-mutation encoding, fold-local variance selection, training-fold median imputation, training-fold standardization, and fixed Ridge alpha=1.0. I also state that the model has no drug identity, structure, target, dose, or mechanism features; therefore the drug-held-out analysis is a limited transfer stress test within the declared universe, not arbitrary unseen-drug prediction. See clean manuscript lines 24-45. The revised Methods also state how rows were joined, how unmatched cell lines were handled, which operations were fit only on training rows, and why alpha was fixed. I added the absence of drug descriptors as a design limitation rather than presenting the analysis as conventional prediction for a chemically novel compound.</w:t>
      </w:r>
    </w:p>
    <w:p>
      <w:pPr>
        <w:pStyle w:val="Heading2"/>
        <w:widowControl/>
        <w:bidi w:val="0"/>
        <w:ind w:hanging="0" w:start="0" w:end="0"/>
        <w:jc w:val="both"/>
        <w:rPr>
          <w:rFonts w:ascii="Arial" w:hAnsi="Arial"/>
          <w:sz w:val="24"/>
          <w:szCs w:val="24"/>
        </w:rPr>
      </w:pPr>
      <w:r>
        <w:rPr>
          <w:rFonts w:ascii="Arial" w:hAnsi="Arial"/>
          <w:sz w:val="24"/>
          <w:szCs w:val="24"/>
        </w:rPr>
        <w:t>Comment 4: Figures, tables, and metric interpretation</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pPr>
        <w:pStyle w:val="Normal"/>
        <w:widowControl/>
        <w:bidi w:val="0"/>
        <w:ind w:hanging="0" w:start="0" w:end="0"/>
        <w:jc w:val="both"/>
        <w:rPr>
          <w:rFonts w:ascii="Arial" w:hAnsi="Arial"/>
          <w:sz w:val="24"/>
          <w:szCs w:val="24"/>
        </w:rPr>
      </w:pPr>
      <w:r>
        <w:t>Response: I reorganized the display logic around the estimands. The main figures now provide a compact LOOD summary, a fusion-minus-expression/conflict view, and a modality-availability diagnostic. Redundant modality-resolved and fold-level figures are retained individually as supplementary outputs rather than repeated in the main sequence. A dedicated Q1-Q3 interpretation subsection links each metric to its validation design. See clean manuscript lines 67-68 and Figures 1-4. I also corrected the figure numbering and supplied each main figure as an individual PNG file. The manuscript references the displays in the order Figure 1 decision framework, Figure 2 transfer overview, Figure 3 fusion contrast and conflict, and Figure 4 availability; tables are supplied separately as a Word file.</w:t>
      </w:r>
    </w:p>
    <w:p>
      <w:pPr>
        <w:pStyle w:val="Heading2"/>
        <w:widowControl/>
        <w:bidi w:val="0"/>
        <w:ind w:hanging="0" w:start="0" w:end="0"/>
        <w:jc w:val="both"/>
        <w:rPr>
          <w:rFonts w:ascii="Arial" w:hAnsi="Arial"/>
          <w:sz w:val="24"/>
          <w:szCs w:val="24"/>
        </w:rPr>
      </w:pPr>
      <w:r>
        <w:rPr>
          <w:rFonts w:ascii="Arial" w:hAnsi="Arial"/>
          <w:sz w:val="24"/>
          <w:szCs w:val="24"/>
        </w:rPr>
        <w:t>Core reproducibility requirements</w:t>
      </w:r>
    </w:p>
    <w:p>
      <w:pPr>
        <w:pStyle w:val="Normal"/>
        <w:widowControl/>
        <w:bidi w:val="0"/>
        <w:ind w:hanging="0" w:start="0" w:end="0"/>
        <w:jc w:val="both"/>
        <w:rPr>
          <w:rFonts w:ascii="Arial" w:hAnsi="Arial"/>
          <w:sz w:val="24"/>
          <w:szCs w:val="24"/>
        </w:rPr>
      </w:pPr>
      <w:r>
        <w:t>Response: I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clean manuscript lines 89-90 and 107-119. The final public archive is now available at https://doi.org/10.5281/zenodo.23054361 and is linked to GitHub release v1.0.1-jpbi-zenodo. The release is immutable and includes the final code, tests, manifests, frozen results, figures, manuscript files, and environment specification; provider data remain excluded.</w:t>
      </w:r>
    </w:p>
    <w:p>
      <w:pPr>
        <w:pStyle w:val="Heading1"/>
        <w:widowControl/>
        <w:bidi w:val="0"/>
        <w:ind w:hanging="0" w:start="0" w:end="0"/>
        <w:jc w:val="both"/>
        <w:rPr>
          <w:rFonts w:ascii="Arial" w:hAnsi="Arial"/>
          <w:sz w:val="24"/>
          <w:szCs w:val="24"/>
        </w:rPr>
      </w:pPr>
      <w:r>
        <w:rPr>
          <w:rFonts w:ascii="Arial" w:hAnsi="Arial"/>
          <w:sz w:val="24"/>
          <w:szCs w:val="24"/>
        </w:rPr>
        <w:t>Reviewer 2</w:t>
      </w:r>
    </w:p>
    <w:p>
      <w:pPr>
        <w:pStyle w:val="Heading2"/>
        <w:widowControl/>
        <w:bidi w:val="0"/>
        <w:ind w:hanging="0" w:start="0" w:end="0"/>
        <w:jc w:val="both"/>
        <w:rPr>
          <w:rFonts w:ascii="Arial" w:hAnsi="Arial"/>
          <w:sz w:val="24"/>
          <w:szCs w:val="24"/>
        </w:rPr>
      </w:pPr>
      <w:r>
        <w:rPr>
          <w:rFonts w:ascii="Arial" w:hAnsi="Arial"/>
          <w:sz w:val="24"/>
          <w:szCs w:val="24"/>
        </w:rPr>
        <w:t>Comment 1: Clarify the knowledge gap</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pPr>
        <w:pStyle w:val="Normal"/>
        <w:widowControl/>
        <w:bidi w:val="0"/>
        <w:ind w:hanging="0" w:start="0" w:end="0"/>
        <w:jc w:val="both"/>
        <w:rPr>
          <w:rFonts w:ascii="Arial" w:hAnsi="Arial"/>
          <w:sz w:val="24"/>
          <w:szCs w:val="24"/>
        </w:rPr>
      </w:pPr>
      <w:r>
        <w:t>Response: I added a focused Introduction paragraph reviewing expression-only baselines, multimodal studies such as MOLI and DrugCell, and the uncertainty about whether mutation and copy-number add stable value beyond expression under external or cross-dataset validation. I explain how feature budgets, learners, response definitions, and split units limit direct comparison. See clean manuscript lines 12-20. I then state the narrower contribution: a controlled comparison of one expression-only baseline and one early-fusion Ridge construction under grouped drug-held-out and source-held-out evaluation. I do not claim to resolve the broader literature question for all learners, drug-aware models, or datasets.</w:t>
      </w:r>
    </w:p>
    <w:p>
      <w:pPr>
        <w:pStyle w:val="Heading2"/>
        <w:widowControl/>
        <w:bidi w:val="0"/>
        <w:ind w:hanging="0" w:start="0" w:end="0"/>
        <w:jc w:val="both"/>
        <w:rPr>
          <w:rFonts w:ascii="Arial" w:hAnsi="Arial"/>
          <w:sz w:val="24"/>
          <w:szCs w:val="24"/>
        </w:rPr>
      </w:pPr>
      <w:r>
        <w:rPr>
          <w:rFonts w:ascii="Arial" w:hAnsi="Arial"/>
          <w:sz w:val="24"/>
          <w:szCs w:val="24"/>
        </w:rPr>
        <w:t>Comment 2: Compound-selection criteria</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Methods are generally clear, but I believe that several choices need more explanation. It is not clear how the 15 compounds were selected. Since all subsequent analyses are based on this relatively small set, the selection criteria should be explicitly described.</w:t>
      </w:r>
    </w:p>
    <w:p>
      <w:pPr>
        <w:pStyle w:val="Normal"/>
        <w:widowControl/>
        <w:bidi w:val="0"/>
        <w:ind w:hanging="0" w:start="0" w:end="0"/>
        <w:jc w:val="both"/>
        <w:rPr>
          <w:rFonts w:ascii="Arial" w:hAnsi="Arial"/>
          <w:sz w:val="24"/>
          <w:szCs w:val="24"/>
        </w:rPr>
      </w:pPr>
      <w:r>
        <w:t>Response: I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I also compare the subset with the broader source-level drug counts and state that it is not representative of the full drug universe. See clean manuscript lines 24 and 30-31, and Supplementary Table S1. I now identify the exact source-balanced design as a pragmatic benchmark construction rather than a random sample of available compounds. The manuscript reports the resulting coverage and explicitly warns that the 15-compound universe limits external generalization.</w:t>
      </w:r>
    </w:p>
    <w:p>
      <w:pPr>
        <w:pStyle w:val="Heading2"/>
        <w:widowControl/>
        <w:bidi w:val="0"/>
        <w:ind w:hanging="0" w:start="0" w:end="0"/>
        <w:jc w:val="both"/>
        <w:rPr>
          <w:rFonts w:ascii="Arial" w:hAnsi="Arial"/>
          <w:sz w:val="24"/>
          <w:szCs w:val="24"/>
        </w:rPr>
      </w:pPr>
      <w:r>
        <w:rPr>
          <w:rFonts w:ascii="Arial" w:hAnsi="Arial"/>
          <w:sz w:val="24"/>
          <w:szCs w:val="24"/>
        </w:rPr>
        <w:t>Comment 3: Damaging-mutation matrix</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More detail is needed on how the damaging-mutation matrix was generated, including which variants were included, how they were classified and encoded, and how missing mutation data were handled.</w:t>
      </w:r>
    </w:p>
    <w:p>
      <w:pPr>
        <w:pStyle w:val="Normal"/>
        <w:widowControl/>
        <w:bidi w:val="0"/>
        <w:ind w:hanging="0" w:start="0" w:end="0"/>
        <w:jc w:val="both"/>
        <w:rPr>
          <w:rFonts w:ascii="Arial" w:hAnsi="Arial"/>
          <w:sz w:val="24"/>
          <w:szCs w:val="24"/>
        </w:rPr>
      </w:pPr>
      <w:r>
        <w:t>Response: I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clean manuscript lines 33-36. This distinction prevents the analysis from silently converting unknown mutation status into a negative mutation call. The same rule is applied consistently across modalities and folds, and the supplementary material records the provenance and missingness handling.</w:t>
      </w:r>
    </w:p>
    <w:p>
      <w:pPr>
        <w:pStyle w:val="Heading2"/>
        <w:widowControl/>
        <w:bidi w:val="0"/>
        <w:ind w:hanging="0" w:start="0" w:end="0"/>
        <w:jc w:val="both"/>
        <w:rPr>
          <w:rFonts w:ascii="Arial" w:hAnsi="Arial"/>
          <w:sz w:val="24"/>
          <w:szCs w:val="24"/>
        </w:rPr>
      </w:pPr>
      <w:r>
        <w:rPr>
          <w:rFonts w:ascii="Arial" w:hAnsi="Arial"/>
          <w:sz w:val="24"/>
          <w:szCs w:val="24"/>
        </w:rPr>
        <w:t>Comment 4: Complete leave-one-drug-out analysis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pPr>
        <w:pStyle w:val="Normal"/>
        <w:widowControl/>
        <w:bidi w:val="0"/>
        <w:ind w:hanging="0" w:start="0" w:end="0"/>
        <w:jc w:val="both"/>
        <w:rPr>
          <w:rFonts w:ascii="Arial" w:hAnsi="Arial"/>
          <w:sz w:val="24"/>
          <w:szCs w:val="24"/>
        </w:rPr>
      </w:pPr>
      <w:r>
        <w:t>Response: I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clean manuscript lines 45-46, 70, and 115-119. I retained the existing five split manifests because they are the prespecified benchmark actually analyzed, but I no longer describe them as exhaustive leave-one-drug-out validation. I state that a complete 15-drug design would be a stronger future analysis and would require a separate frozen manifest.</w:t>
      </w:r>
    </w:p>
    <w:p>
      <w:pPr>
        <w:pStyle w:val="Heading2"/>
        <w:widowControl/>
        <w:bidi w:val="0"/>
        <w:ind w:hanging="0" w:start="0" w:end="0"/>
        <w:jc w:val="both"/>
        <w:rPr>
          <w:rFonts w:ascii="Arial" w:hAnsi="Arial"/>
          <w:sz w:val="24"/>
          <w:szCs w:val="24"/>
        </w:rPr>
      </w:pPr>
      <w:r>
        <w:rPr>
          <w:rFonts w:ascii="Arial" w:hAnsi="Arial"/>
          <w:sz w:val="24"/>
          <w:szCs w:val="24"/>
        </w:rPr>
        <w:t>Comment 5: Individual drug effects and variability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differences between fusion and expression-only models are very small, so the magnitude and variability of these effects should be shown more clearly. Reporting the results for individual drugs would help to put these differences into context.</w:t>
      </w:r>
    </w:p>
    <w:p>
      <w:pPr>
        <w:pStyle w:val="Normal"/>
        <w:widowControl/>
        <w:bidi w:val="0"/>
        <w:ind w:hanging="0" w:start="0" w:end="0"/>
        <w:jc w:val="both"/>
        <w:rPr>
          <w:rFonts w:ascii="Arial" w:hAnsi="Arial"/>
          <w:sz w:val="24"/>
          <w:szCs w:val="24"/>
        </w:rPr>
      </w:pPr>
      <w:r>
        <w:t>Response: I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clean manuscript lines 56-60. These summaries are paired within the same drug and seed, so they show the size and direction of observed differences without treating repeated partitions as independent biological experiments. I also explain that the small average difference should not be converted into a claim of stable superiority.</w:t>
      </w:r>
    </w:p>
    <w:p>
      <w:pPr>
        <w:pStyle w:val="Heading2"/>
        <w:widowControl/>
        <w:bidi w:val="0"/>
        <w:ind w:hanging="0" w:start="0" w:end="0"/>
        <w:jc w:val="both"/>
        <w:rPr>
          <w:rFonts w:ascii="Arial" w:hAnsi="Arial"/>
          <w:sz w:val="24"/>
          <w:szCs w:val="24"/>
        </w:rPr>
      </w:pPr>
      <w:r>
        <w:rPr>
          <w:rFonts w:ascii="Arial" w:hAnsi="Arial"/>
          <w:sz w:val="24"/>
          <w:szCs w:val="24"/>
        </w:rPr>
        <w:t>Comment 6: Redundant figures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Some figures seem redundant. Figures 1 and 3A show very similar results, as do Figures 2 and 3B, and could be combined or simplified.</w:t>
      </w:r>
    </w:p>
    <w:p>
      <w:pPr>
        <w:pStyle w:val="Normal"/>
        <w:widowControl/>
        <w:bidi w:val="0"/>
        <w:ind w:hanging="0" w:start="0" w:end="0"/>
        <w:jc w:val="both"/>
        <w:rPr>
          <w:rFonts w:ascii="Arial" w:hAnsi="Arial"/>
          <w:sz w:val="24"/>
          <w:szCs w:val="24"/>
        </w:rPr>
      </w:pPr>
      <w:r>
        <w:t>Response: I simplified the main display set. Figure 1 is the compact LOOD summary, Figure 2 the signed fusion contrast/conflict view, and Figure 3 the availability diagnostic. The former modality-resolved and fold-level figures remain individual supplementary files. See clean manuscript lines 67-68. This removes the previous duplication and makes the visual sequence match the manuscript narrative. The supplementary files preserve detail without forcing the reader to interpret several versions of the same comparison in the main text.</w:t>
      </w:r>
    </w:p>
    <w:p>
      <w:pPr>
        <w:pStyle w:val="Heading2"/>
        <w:widowControl/>
        <w:bidi w:val="0"/>
        <w:ind w:hanging="0" w:start="0" w:end="0"/>
        <w:jc w:val="both"/>
        <w:rPr>
          <w:rFonts w:ascii="Arial" w:hAnsi="Arial"/>
          <w:sz w:val="24"/>
          <w:szCs w:val="24"/>
        </w:rPr>
      </w:pPr>
      <w:r>
        <w:rPr>
          <w:rFonts w:ascii="Arial" w:hAnsi="Arial"/>
          <w:sz w:val="24"/>
          <w:szCs w:val="24"/>
        </w:rPr>
        <w:t>Comment 7: Soften H2 and LOOD language</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pPr>
        <w:pStyle w:val="Normal"/>
        <w:widowControl/>
        <w:bidi w:val="0"/>
        <w:ind w:hanging="0" w:start="0" w:end="0"/>
        <w:jc w:val="both"/>
        <w:rPr>
          <w:rFonts w:ascii="Arial" w:hAnsi="Arial"/>
          <w:sz w:val="24"/>
          <w:szCs w:val="24"/>
        </w:rPr>
      </w:pPr>
      <w:r>
        <w:t>Response: I replaced “H2 was supported” and “consistent cross-study degradation” with language describing a less favorable fusion contrast in the observed source-held-out setting. I explicitly state that this is not a causal or general law because multiple dataset properties change simultaneously. See clean manuscript lines 69-85. The revised wording now says that fusion was less favorable in the observed source-held-out folds, while acknowledging that the comparison changes the source, compounds, cell lines, assay context, and response scale together.</w:t>
      </w:r>
    </w:p>
    <w:p>
      <w:pPr>
        <w:pStyle w:val="Heading2"/>
        <w:widowControl/>
        <w:bidi w:val="0"/>
        <w:ind w:hanging="0" w:start="0" w:end="0"/>
        <w:jc w:val="both"/>
        <w:rPr>
          <w:rFonts w:ascii="Arial" w:hAnsi="Arial"/>
          <w:sz w:val="24"/>
          <w:szCs w:val="24"/>
        </w:rPr>
      </w:pPr>
      <w:r>
        <w:rPr>
          <w:rFonts w:ascii="Arial" w:hAnsi="Arial"/>
          <w:sz w:val="24"/>
          <w:szCs w:val="24"/>
        </w:rPr>
        <w:t>Comment 8: Biological and drug-specific discussion</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pPr>
        <w:pStyle w:val="Normal"/>
        <w:widowControl/>
        <w:bidi w:val="0"/>
        <w:ind w:hanging="0" w:start="0" w:end="0"/>
        <w:jc w:val="both"/>
        <w:rPr>
          <w:rFonts w:ascii="Arial" w:hAnsi="Arial"/>
          <w:sz w:val="24"/>
          <w:szCs w:val="24"/>
        </w:rPr>
      </w:pPr>
      <w:r>
        <w:t>Response: I added a concise compound-level discussion. ACY-1215 and DACOMITINIB had the largest favorable mean deltas in the observed audit, while GSK1059615 and STAUROSPORINE had unfavorable mean deltas. I state that these are descriptive and do not establish mechanism-of-action effects because there is no drug-aware input, no complete 15-drug LODO analysis, and no formal mechanism-stratified test. See clean manuscript lines 75-85. I also added the practical interpretation that a compound-specific difference can motivate follow-up investigation or assay prioritization, but cannot by itself identify a mechanism or justify a biomarker claim. Repeated effects across a larger, drug-aware and mechanism-annotated universe remain necessary.</w:t>
      </w:r>
    </w:p>
    <w:p>
      <w:pPr>
        <w:pStyle w:val="Heading1"/>
        <w:widowControl/>
        <w:bidi w:val="0"/>
        <w:ind w:hanging="0" w:start="0" w:end="0"/>
        <w:jc w:val="both"/>
        <w:rPr>
          <w:rFonts w:ascii="Arial" w:hAnsi="Arial"/>
          <w:sz w:val="24"/>
          <w:szCs w:val="24"/>
        </w:rPr>
      </w:pPr>
      <w:r>
        <w:rPr>
          <w:rFonts w:ascii="Arial" w:hAnsi="Arial"/>
          <w:sz w:val="24"/>
          <w:szCs w:val="24"/>
        </w:rPr>
        <w:t>Reviewer 3</w:t>
      </w:r>
    </w:p>
    <w:p>
      <w:pPr>
        <w:pStyle w:val="Heading2"/>
        <w:widowControl/>
        <w:bidi w:val="0"/>
        <w:ind w:hanging="0" w:start="0" w:end="0"/>
        <w:jc w:val="both"/>
        <w:rPr>
          <w:rFonts w:ascii="Arial" w:hAnsi="Arial"/>
          <w:sz w:val="24"/>
          <w:szCs w:val="24"/>
        </w:rPr>
      </w:pPr>
      <w:r>
        <w:rPr>
          <w:rFonts w:ascii="Arial" w:hAnsi="Arial"/>
          <w:sz w:val="24"/>
          <w:szCs w:val="24"/>
        </w:rPr>
        <w:t>Comment 1: No drug-specific features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pPr>
        <w:pStyle w:val="Normal"/>
        <w:widowControl/>
        <w:bidi w:val="0"/>
        <w:ind w:hanging="0" w:start="0" w:end="0"/>
        <w:jc w:val="both"/>
        <w:rPr>
          <w:rFonts w:ascii="Arial" w:hAnsi="Arial"/>
          <w:sz w:val="24"/>
          <w:szCs w:val="24"/>
        </w:rPr>
      </w:pPr>
      <w:r>
        <w:t>Response: I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clean manuscript lines 37, 60-61, 70, 74, and 85. I also added explicit non-use statements: the results should not be used to predict an arbitrary new drug, select patient treatment, make causal claims about mutation or copy-number biology, or replace experimental validation. A drug-aware framework with chemical, target, or mechanism features is identified as future work.</w:t>
      </w:r>
    </w:p>
    <w:p>
      <w:pPr>
        <w:pStyle w:val="Heading2"/>
        <w:widowControl/>
        <w:bidi w:val="0"/>
        <w:ind w:hanging="0" w:start="0" w:end="0"/>
        <w:jc w:val="both"/>
        <w:rPr>
          <w:rFonts w:ascii="Arial" w:hAnsi="Arial"/>
          <w:sz w:val="24"/>
          <w:szCs w:val="24"/>
        </w:rPr>
      </w:pPr>
      <w:r>
        <w:rPr>
          <w:rFonts w:ascii="Arial" w:hAnsi="Arial"/>
          <w:sz w:val="24"/>
          <w:szCs w:val="24"/>
        </w:rPr>
        <w:t>Comment 2: Compound subset and generalizability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pPr>
        <w:pStyle w:val="Normal"/>
        <w:widowControl/>
        <w:bidi w:val="0"/>
        <w:ind w:hanging="0" w:start="0" w:end="0"/>
        <w:jc w:val="both"/>
        <w:rPr>
          <w:rFonts w:ascii="Arial" w:hAnsi="Arial"/>
          <w:sz w:val="24"/>
          <w:szCs w:val="24"/>
        </w:rPr>
      </w:pPr>
      <w:r>
        <w:t>Response: I added explicit selection criteria, broader source-level drug counts, selected response counts, and the limitation that the subset is pragmatic and non-representative. See clean manuscript lines 24 and 30-31, and Supplementary Table S1. I now connect this limitation to the interpretation of every aggregate result: the reported effect is conditional on the selected 15 compounds, their response distributions, and their available cell lines. I did not extend the claims to the full GDSC or CTD² drug universes.</w:t>
      </w:r>
    </w:p>
    <w:p>
      <w:pPr>
        <w:pStyle w:val="Heading2"/>
        <w:widowControl/>
        <w:bidi w:val="0"/>
        <w:ind w:hanging="0" w:start="0" w:end="0"/>
        <w:jc w:val="both"/>
        <w:rPr>
          <w:rFonts w:ascii="Arial" w:hAnsi="Arial"/>
          <w:sz w:val="24"/>
          <w:szCs w:val="24"/>
        </w:rPr>
      </w:pPr>
      <w:r>
        <w:rPr>
          <w:rFonts w:ascii="Arial" w:hAnsi="Arial"/>
          <w:sz w:val="24"/>
          <w:szCs w:val="24"/>
        </w:rPr>
        <w:t>Comment 3: Small fusion effect and uncertainty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pPr>
        <w:pStyle w:val="Normal"/>
        <w:widowControl/>
        <w:bidi w:val="0"/>
        <w:ind w:hanging="0" w:start="0" w:end="0"/>
        <w:jc w:val="both"/>
        <w:rPr>
          <w:rFonts w:ascii="Arial" w:hAnsi="Arial"/>
          <w:sz w:val="24"/>
          <w:szCs w:val="24"/>
        </w:rPr>
      </w:pPr>
      <w:r>
        <w:t>Response: I added paired compound-level effect summaries and report their empirical variability, while avoiding formal significance claims because drug-seed cells are not independent. More extensive repeated grouped validation and complete LODO are identified as future work. See clean manuscript lines 56-60, 70, and 115-119. I report the direction across the observed drug-seed cells and explain why this is descriptive uncertainty rather than a confidence interval for a population effect. The manuscript now treats more extensive repeated grouped validation as a necessary next step, not as an analysis already completed.</w:t>
      </w:r>
    </w:p>
    <w:p>
      <w:pPr>
        <w:pStyle w:val="Heading2"/>
        <w:widowControl/>
        <w:bidi w:val="0"/>
        <w:ind w:hanging="0" w:start="0" w:end="0"/>
        <w:jc w:val="both"/>
        <w:rPr>
          <w:rFonts w:ascii="Arial" w:hAnsi="Arial"/>
          <w:sz w:val="24"/>
          <w:szCs w:val="24"/>
        </w:rPr>
      </w:pPr>
      <w:r>
        <w:rPr>
          <w:rFonts w:ascii="Arial" w:hAnsi="Arial"/>
          <w:sz w:val="24"/>
          <w:szCs w:val="24"/>
        </w:rPr>
        <w:t>Comment 4: 2,000 versus 6,000 feature budget</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pPr>
        <w:pStyle w:val="Normal"/>
        <w:widowControl/>
        <w:bidi w:val="0"/>
        <w:ind w:hanging="0" w:start="0" w:end="0"/>
        <w:jc w:val="both"/>
        <w:rPr>
          <w:rFonts w:ascii="Arial" w:hAnsi="Arial"/>
          <w:sz w:val="24"/>
          <w:szCs w:val="24"/>
        </w:rPr>
      </w:pPr>
      <w:r>
        <w:t>Response: I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clean manuscript lines 37-38, 72, and 82-85. I added this qualification to the interpretation of the primary effect. Thus, the result is about the evaluated model comparison, in which information and feature dimensionality change together, and not a clean decomposition of biological complementarity from model complexity.</w:t>
      </w:r>
    </w:p>
    <w:p>
      <w:pPr>
        <w:pStyle w:val="Heading2"/>
        <w:widowControl/>
        <w:bidi w:val="0"/>
        <w:ind w:hanging="0" w:start="0" w:end="0"/>
        <w:jc w:val="both"/>
        <w:rPr>
          <w:rFonts w:ascii="Arial" w:hAnsi="Arial"/>
          <w:sz w:val="24"/>
          <w:szCs w:val="24"/>
        </w:rPr>
      </w:pPr>
      <w:r>
        <w:rPr>
          <w:rFonts w:ascii="Arial" w:hAnsi="Arial"/>
          <w:sz w:val="24"/>
          <w:szCs w:val="24"/>
        </w:rPr>
        <w:t>Comment 5: Limited Ridge early-fusion baseline</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pPr>
        <w:pStyle w:val="Normal"/>
        <w:widowControl/>
        <w:bidi w:val="0"/>
        <w:ind w:hanging="0" w:start="0" w:end="0"/>
        <w:jc w:val="both"/>
        <w:rPr>
          <w:rFonts w:ascii="Arial" w:hAnsi="Arial"/>
          <w:sz w:val="24"/>
          <w:szCs w:val="24"/>
        </w:rPr>
      </w:pPr>
      <w:r>
        <w:t>Response: I restrict conclusions to the fixed Ridge early-fusion construction and list drug representations, nonlinear learners, late fusion, group-wise regularization, modality completion, and missing-modality-aware models as untested alternatives. See clean manuscript lines 37-38, 70-72, and 82-85. I therefore removed broader statements about multimodal pharmacogenomics in general and retained only conclusions supported by this Ridge early-fusion experiment. The Discussion names the untested alternatives as scope limitations and future work.</w:t>
      </w:r>
    </w:p>
    <w:p>
      <w:pPr>
        <w:pStyle w:val="Heading2"/>
        <w:widowControl/>
        <w:bidi w:val="0"/>
        <w:ind w:hanging="0" w:start="0" w:end="0"/>
        <w:jc w:val="both"/>
        <w:rPr>
          <w:rFonts w:ascii="Arial" w:hAnsi="Arial"/>
          <w:sz w:val="24"/>
          <w:szCs w:val="24"/>
        </w:rPr>
      </w:pPr>
      <w:r>
        <w:rPr>
          <w:rFonts w:ascii="Arial" w:hAnsi="Arial"/>
          <w:sz w:val="24"/>
          <w:szCs w:val="24"/>
        </w:rPr>
        <w:t>Comment 6: Accessible reproducibility artifacts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pPr>
        <w:pStyle w:val="Normal"/>
        <w:widowControl/>
        <w:bidi w:val="0"/>
        <w:ind w:hanging="0" w:start="0" w:end="0"/>
        <w:jc w:val="both"/>
        <w:rPr>
          <w:rFonts w:ascii="Arial" w:hAnsi="Arial"/>
          <w:sz w:val="24"/>
          <w:szCs w:val="24"/>
        </w:rPr>
      </w:pPr>
      <w:r>
        <w:t>Response: I added the concrete repository URL, the immutable GitHub release tag v1.0.1-jpbi-zenodo, and the Zenodo DOI https://doi.org/10.5281/zenodo.23054361. The release contains the data-release identifiers, environment specification, regeneration scripts, split and feature manifests, and machine-readable outputs. Raw provider files remain subject to their access terms. See clean manuscript lines 89-90 and 107-119. The data-availability statement now points to both the working repository and the permanent DOI. I also state that a clean rerun still requires authorized downloads of the named provider releases, so the archive supports reproducibility without claiming that restricted raw matrices are redistributed.</w:t>
      </w:r>
    </w:p>
    <w:p>
      <w:pPr>
        <w:pStyle w:val="Normal"/>
        <w:widowControl/>
        <w:bidi w:val="0"/>
        <w:spacing w:before="0" w:after="200"/>
        <w:ind w:hanging="0" w:start="0" w:end="0"/>
        <w:jc w:val="both"/>
        <w:rPr>
          <w:rFonts w:ascii="Arial" w:hAnsi="Arial"/>
          <w:sz w:val="24"/>
          <w:szCs w:val="24"/>
        </w:rPr>
      </w:pPr>
      <w:r>
        <w:rPr>
          <w:rFonts w:ascii="Arial" w:hAnsi="Arial"/>
          <w:sz w:val="24"/>
          <w:szCs w:val="24"/>
        </w:rPr>
        <w:t>I appreciate the reviewers’ comments, which helped us narrow the estimand, improve methodological transparency, and align the claims with the evidence.</w:t>
      </w:r>
    </w:p>
    <w:sectPr>
      <w:type w:val="nextPage"/>
      <w:pgSz w:w="12240" w:h="15840"/>
      <w:pgMar w:left="1450" w:right="1427"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LibreOffice/26.2.1.2$MacOSX_AARCH64 LibreOffice_project/8399f6259d8c87f40e7255cdb3c9b958f5e08948</Application>
  <AppVersion>15.0000</AppVersion>
  <Pages>9</Pages>
  <Words>3329</Words>
  <Characters>21100</Characters>
  <CharactersWithSpaces>24355</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2026-09-30T13:47:58Z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