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40"/>
        </w:rPr>
        <w:t>When More Omics Is Not Always Better: Drug- and Dataset-Conditional Value of Multimodal Cancer Pharmacogenomics</w:t>
      </w:r>
    </w:p>
    <w:p>
      <w:pPr>
        <w:jc w:val="center"/>
      </w:pPr>
      <w:r>
        <w:rPr>
          <w:b/>
        </w:rPr>
        <w:t>Carlos Victor Montefusco-Pereira</w:t>
        <w:br/>
      </w:r>
      <w:r>
        <w:t>Independent Researcher in Data Science and AI for Pharmaceutical Industry</w:t>
        <w:br/>
        <w:t>Friedrich-Wilhelm 28, 12103 Berlin, Germany</w:t>
        <w:br/>
        <w:t>Corresponding author: cmontefusco@gmail.com</w:t>
      </w:r>
    </w:p>
    <w:p/>
    <w:p>
      <w:r>
        <w:rPr>
          <w:b/>
        </w:rPr>
        <w:t xml:space="preserve">Article type: </w:t>
      </w:r>
      <w:r>
        <w:t>Research article</w:t>
      </w:r>
    </w:p>
    <w:p>
      <w:r>
        <w:rPr>
          <w:b/>
        </w:rPr>
        <w:t xml:space="preserve">Declarations: </w:t>
      </w:r>
      <w: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r>
        <w:br w:type="page"/>
      </w:r>
    </w:p>
    <w:p>
      <w:pPr>
        <w:pStyle w:val="Heading1"/>
        <w:keepNext/>
      </w:pPr>
      <w:r>
        <w:t>Abstract</w:t>
      </w:r>
    </w:p>
    <w:p>
      <w:pPr>
        <w:spacing w:after="120" w:line="259" w:lineRule="auto"/>
      </w:pPr>
      <w:r>
        <w:t>Multimodal molecular profiles are often assumed to improve cancer drug-response prediction simply by adding information. We developed an evidence-bounded DepMap workflow to test that assumption across expression, copy-number, and mutation features. The declared evaluation universe contained 15 compounds from GDSC1, GDSC2, and CTD². Models used fold-local feature selection and Ridge regression, with drug-held-out and leave-one-dataset-out validation. In full-universe drug-held-out validation across five repeated splits, fusion had mean RMSE 0.2322 versus 0.2328 for expression alone (mean fusion-minus-expression RMSE −0.0006; seed-level SD 0.0013). Fusion improved in three of five splits and was slightly worse in two. In cross-study validation, fusion was slightly worse in all three held-out datasets: CTD² 0.3238 versus 0.3231, GDSC1 0.2339 versus 0.2322, and GDSC2 0.2387 versus 0.2347. Structured missingness and weak-to-moderate row-level modality correlations accompanied dataset-sensitive performance. These findings support evaluating multimodal models by incremental value, transferability, and failure modes rather than assuming that more omics is always better.</w:t>
      </w:r>
    </w:p>
    <w:p>
      <w:r>
        <w:rPr>
          <w:b/>
        </w:rPr>
        <w:t xml:space="preserve">Keywords: </w:t>
      </w:r>
      <w:r>
        <w:t>information fusion; drug response; multi-omics; cancer; missing data; cross-study validation</w:t>
      </w:r>
    </w:p>
    <w:p>
      <w:pPr>
        <w:pStyle w:val="Heading1"/>
        <w:keepNext/>
      </w:pPr>
      <w:r>
        <w:t>1. Introduction</w:t>
      </w:r>
    </w:p>
    <w:p>
      <w:pPr>
        <w:spacing w:after="120" w:line="259" w:lineRule="auto"/>
      </w:pPr>
      <w:r>
        <w:t>Cancer pharmacogenomics increasingly combines multiple molecular assays to predict drug response. More measurements can capture complementary biology, but they also increase dimensionality, missingness, and sensitivity to study-specific measurement processes. We therefore specified a workflow that treats incremental predictive value, missingness, and modality conflict as joint evaluation targets.</w:t>
      </w:r>
    </w:p>
    <w:p>
      <w:pPr>
        <w:pStyle w:val="Heading2"/>
        <w:keepNext/>
      </w:pPr>
      <w:r>
        <w:t>1.1. Brief literature context</w:t>
      </w:r>
    </w:p>
    <w:p>
      <w:pPr>
        <w:spacing w:after="120" w:line="259" w:lineRule="auto"/>
      </w:pPr>
      <w: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pPr>
      <w:r>
        <w:t>For pharmaceutical research, the relevant endpoint is not only predictive accuracy but whether a model can support transparent prioritization of compounds, biomarkers, and follow-up experiments. A model that performs reliably across a declared validation target may help rank candidate molecular contexts for early discovery studies; however, cell-line prediction alone does not establish clinical utility, prospective benefit, or suitability for dosing decisions. These boundaries motivate an evaluation that reports transfer failures and data-availability constraints alongside average error metrics.</w:t>
      </w:r>
    </w:p>
    <w:p>
      <w:pPr>
        <w:spacing w:after="120" w:line="259" w:lineRule="auto"/>
      </w:pPr>
      <w: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pPr>
      <w: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pPr>
      <w: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We designed the analysis around that narrower estimand.</w:t>
      </w:r>
    </w:p>
    <w:p>
      <w:pPr>
        <w:spacing w:after="120" w:line="259" w:lineRule="auto"/>
      </w:pPr>
      <w: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can answer an easier question than prediction for an unseen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pPr>
      <w:r>
        <w:t>Published comparisons therefore leave a practical gap: it remains difficult to tell whether a reported multimodal gain reflects complementary biology, a favorable split, source-specific assay coverage, or preprocessing choices. Cross-study transfer is also less frequently treated as a primary test than within-dataset cross-validation, despite differences in response scales, cell-line coverage, and molecular measurement between screening resources. We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pStyle w:val="Heading2"/>
        <w:keepNext/>
      </w:pPr>
      <w:r>
        <w:t>1.2. Research questions and hypotheses</w:t>
      </w:r>
    </w:p>
    <w:p>
      <w:pPr>
        <w:spacing w:after="120" w:line="259" w:lineRule="auto"/>
      </w:pPr>
      <w:r>
        <w:t>We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We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pPr>
      <w:r>
        <w:t>2. Methods</w:t>
      </w:r>
    </w:p>
    <w:p>
      <w:pPr>
        <w:spacing w:after="120" w:line="259" w:lineRule="auto"/>
      </w:pPr>
      <w:r>
        <w:t>We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pPr>
      <w:r>
        <w:t>2.1. Evaluation scope</w:t>
      </w:r>
    </w:p>
    <w:p>
      <w:pPr>
        <w:spacing w:after="120" w:line="259" w:lineRule="auto"/>
      </w:pPr>
      <w: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pPr>
      <w:r>
        <w:t>2.2. Metrics and interpretation</w:t>
      </w:r>
    </w:p>
    <w:p>
      <w:pPr>
        <w:spacing w:after="120" w:line="259" w:lineRule="auto"/>
      </w:pPr>
      <w:r>
        <w:t>We report mean absolute error (MAE) and root mean squared error (RMSE). Fusion deltas are defined as fusion RMSE minus expression RMSE; negative values favor fusion and positive values favor expression. Missingness strata are descriptive availability strata, not a replacement for imputation-aware model evaluation. All formal result tables and split manifests are versioned with the workflow.</w:t>
      </w:r>
    </w:p>
    <w:p>
      <w:pPr>
        <w:pStyle w:val="Heading2"/>
        <w:keepNext/>
      </w:pPr>
      <w:r>
        <w:t>2.3. Dataset harmonization and response definition</w:t>
      </w:r>
    </w:p>
    <w:p>
      <w:pPr>
        <w:spacing w:after="120" w:line="259" w:lineRule="auto"/>
      </w:pPr>
      <w: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pPr>
      <w:r>
        <w:t>2.4. Feature construction and leakage control</w:t>
      </w:r>
    </w:p>
    <w:p>
      <w:pPr>
        <w:spacing w:after="120" w:line="259" w:lineRule="auto"/>
      </w:pPr>
      <w: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pPr>
      <w:r>
        <w:t>2.5. Model specification and baselines</w:t>
      </w:r>
    </w:p>
    <w:p>
      <w:pPr>
        <w:spacing w:after="120" w:line="259" w:lineRule="auto"/>
      </w:pPr>
      <w: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pPr>
      <w: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pStyle w:val="Heading2"/>
        <w:keepNext/>
      </w:pPr>
      <w:r>
        <w:t>2.6. Split manifests and reproducibility</w:t>
      </w:r>
    </w:p>
    <w:p>
      <w:pPr>
        <w:spacing w:after="120" w:line="259" w:lineRule="auto"/>
      </w:pPr>
      <w:r>
        <w:t>Five drug-held-out manifests were persisted before model evaluation. Grouped splitting prevents rows from the same drug from appearing in both training and test partitions.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pPr>
      <w:r>
        <w:t>2.7. Analysis sequence and implementation controls</w:t>
      </w:r>
    </w:p>
    <w:p>
      <w:pPr>
        <w:spacing w:after="120" w:line="259" w:lineRule="auto"/>
      </w:pPr>
      <w: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pPr>
      <w: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pPr>
      <w:r>
        <w:t>3. Results</w:t>
      </w:r>
    </w:p>
    <w:p>
      <w:pPr>
        <w:pStyle w:val="Heading2"/>
        <w:keepNext/>
      </w:pPr>
      <w:r>
        <w:t>3.1. Drug-heldout validation</w:t>
      </w:r>
    </w:p>
    <w:p>
      <w:pPr>
        <w:spacing w:after="120" w:line="259" w:lineRule="auto"/>
      </w:pPr>
      <w: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 2 and Supplementary Table S3.</w:t>
      </w:r>
    </w:p>
    <w:p>
      <w:pPr>
        <w:spacing w:after="120" w:line="259" w:lineRule="auto"/>
      </w:pPr>
      <w:r>
        <w:t>As a secondary diagnostic, a training-set mean-response baseline was worse than expression and fusion in four of five seeds; in the fifth seed it was better than both. A per-drug audit covered eight unique held-out compounds across 15 drug-seed cells; fusion improved RMSE in 11 cells and worsened it in four. Because compounds recur across seeds and only three drugs are held out per split, this audit is descriptive rather than an independent estimate of generalization.</w:t>
      </w:r>
    </w:p>
    <w:p>
      <w:pPr>
        <w:pStyle w:val="Heading2"/>
        <w:keepNext/>
      </w:pPr>
      <w:r>
        <w:t>3.2. Cross-study transfer</w:t>
      </w:r>
    </w:p>
    <w:p>
      <w:pPr>
        <w:spacing w:after="120" w:line="259" w:lineRule="auto"/>
      </w:pPr>
      <w:r>
        <w:t>In leave-one-dataset-out validation, expression was consistently stronger than fusion, with the largest fusion degradation on CTD². These folds test transfer across source datasets, not replication of the same drug. The signed fusion-minus-expression RMSE deltas are shown in Figure 2 and Supplementary Table S4.</w:t>
      </w:r>
    </w:p>
    <w:p>
      <w:pPr>
        <w:spacing w:after="120" w:line="259" w:lineRule="auto"/>
      </w:pPr>
      <w:r>
        <w:t>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This makes the result a stress test for portability, while also limiting the specificity of any explanation for the observed degradation.</w:t>
      </w:r>
    </w:p>
    <w:p>
      <w:pPr>
        <w:pStyle w:val="Heading2"/>
        <w:keepNext/>
      </w:pPr>
      <w:r>
        <w:t>3.3. Missingness and redundancy</w:t>
      </w:r>
    </w:p>
    <w:p>
      <w:pPr>
        <w:spacing w:after="120" w:line="259" w:lineRule="auto"/>
      </w:pPr>
      <w: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w:t>
      </w:r>
    </w:p>
    <w:p>
      <w:pPr>
        <w:spacing w:after="120" w:line="259" w:lineRule="auto"/>
      </w:pPr>
      <w: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r>
        <w:rPr>
          <w:b/>
        </w:rPr>
        <w:t xml:space="preserve">Table 1. </w:t>
      </w:r>
      <w:r>
        <w:t>Leave-one-dataset-out RMSE.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Held-out dataset</w:t>
            </w:r>
          </w:p>
        </w:tc>
        <w:tc>
          <w:tcPr>
            <w:tcW w:type="dxa" w:w="1958"/>
            <w:vAlign w:val="center"/>
            <w:shd w:fill="D9EAF7"/>
          </w:tcPr>
          <w:p>
            <w:pPr>
              <w:spacing w:after="0"/>
            </w:pPr>
            <w:r/>
            <w:r>
              <w:rPr>
                <w:b/>
                <w:sz w:val="16"/>
              </w:rPr>
              <w:t>Expression</w:t>
            </w:r>
          </w:p>
        </w:tc>
        <w:tc>
          <w:tcPr>
            <w:tcW w:type="dxa" w:w="1958"/>
            <w:vAlign w:val="center"/>
            <w:shd w:fill="D9EAF7"/>
          </w:tcPr>
          <w:p>
            <w:pPr>
              <w:spacing w:after="0"/>
            </w:pPr>
            <w:r/>
            <w:r>
              <w:rPr>
                <w:b/>
                <w:sz w:val="16"/>
              </w:rPr>
              <w:t>Copy number</w:t>
            </w:r>
          </w:p>
        </w:tc>
        <w:tc>
          <w:tcPr>
            <w:tcW w:type="dxa" w:w="1958"/>
            <w:vAlign w:val="center"/>
            <w:shd w:fill="D9EAF7"/>
          </w:tcPr>
          <w:p>
            <w:pPr>
              <w:spacing w:after="0"/>
            </w:pPr>
            <w:r/>
            <w:r>
              <w:rPr>
                <w:b/>
                <w:sz w:val="16"/>
              </w:rPr>
              <w:t>Mutation</w:t>
            </w:r>
          </w:p>
        </w:tc>
        <w:tc>
          <w:tcPr>
            <w:tcW w:type="dxa" w:w="1958"/>
            <w:vAlign w:val="center"/>
            <w:shd w:fill="D9EAF7"/>
          </w:tcPr>
          <w:p>
            <w:pPr>
              <w:spacing w:after="0"/>
            </w:pPr>
            <w:r/>
            <w:r>
              <w:rPr>
                <w:b/>
                <w:sz w:val="16"/>
              </w:rPr>
              <w:t>Fusion</w:t>
            </w:r>
          </w:p>
        </w:tc>
      </w:tr>
      <w:tr>
        <w:tc>
          <w:tcPr>
            <w:tcW w:type="dxa" w:w="1958"/>
            <w:vAlign w:val="center"/>
          </w:tcPr>
          <w:p>
            <w:pPr>
              <w:spacing w:after="0"/>
            </w:pPr>
            <w:r/>
            <w:r>
              <w:rPr>
                <w:b w:val="0"/>
                <w:sz w:val="16"/>
              </w:rPr>
              <w:t>CTD2</w:t>
            </w:r>
          </w:p>
        </w:tc>
        <w:tc>
          <w:tcPr>
            <w:tcW w:type="dxa" w:w="1958"/>
            <w:vAlign w:val="center"/>
          </w:tcPr>
          <w:p>
            <w:pPr>
              <w:spacing w:after="0"/>
            </w:pPr>
            <w:r/>
            <w:r>
              <w:rPr>
                <w:b w:val="0"/>
                <w:sz w:val="16"/>
              </w:rPr>
              <w:t>0.3231</w:t>
            </w:r>
          </w:p>
        </w:tc>
        <w:tc>
          <w:tcPr>
            <w:tcW w:type="dxa" w:w="1958"/>
            <w:vAlign w:val="center"/>
          </w:tcPr>
          <w:p>
            <w:pPr>
              <w:spacing w:after="0"/>
            </w:pPr>
            <w:r/>
            <w:r>
              <w:rPr>
                <w:b w:val="0"/>
                <w:sz w:val="16"/>
              </w:rPr>
              <w:t>0.3287</w:t>
            </w:r>
          </w:p>
        </w:tc>
        <w:tc>
          <w:tcPr>
            <w:tcW w:type="dxa" w:w="1958"/>
            <w:vAlign w:val="center"/>
          </w:tcPr>
          <w:p>
            <w:pPr>
              <w:spacing w:after="0"/>
            </w:pPr>
            <w:r/>
            <w:r>
              <w:rPr>
                <w:b w:val="0"/>
                <w:sz w:val="16"/>
              </w:rPr>
              <w:t>0.3325</w:t>
            </w:r>
          </w:p>
        </w:tc>
        <w:tc>
          <w:tcPr>
            <w:tcW w:type="dxa" w:w="1958"/>
            <w:vAlign w:val="center"/>
          </w:tcPr>
          <w:p>
            <w:pPr>
              <w:spacing w:after="0"/>
            </w:pPr>
            <w:r/>
            <w:r>
              <w:rPr>
                <w:b w:val="0"/>
                <w:sz w:val="16"/>
              </w:rPr>
              <w:t>0.3238</w:t>
            </w:r>
          </w:p>
        </w:tc>
      </w:tr>
      <w:tr>
        <w:tc>
          <w:tcPr>
            <w:tcW w:type="dxa" w:w="1958"/>
            <w:vAlign w:val="center"/>
          </w:tcPr>
          <w:p>
            <w:pPr>
              <w:spacing w:after="0"/>
            </w:pPr>
            <w:r/>
            <w:r>
              <w:rPr>
                <w:b w:val="0"/>
                <w:sz w:val="16"/>
              </w:rPr>
              <w:t>GDSC1</w:t>
            </w:r>
          </w:p>
        </w:tc>
        <w:tc>
          <w:tcPr>
            <w:tcW w:type="dxa" w:w="1958"/>
            <w:vAlign w:val="center"/>
          </w:tcPr>
          <w:p>
            <w:pPr>
              <w:spacing w:after="0"/>
            </w:pPr>
            <w:r/>
            <w:r>
              <w:rPr>
                <w:b w:val="0"/>
                <w:sz w:val="16"/>
              </w:rPr>
              <w:t>0.2322</w:t>
            </w:r>
          </w:p>
        </w:tc>
        <w:tc>
          <w:tcPr>
            <w:tcW w:type="dxa" w:w="1958"/>
            <w:vAlign w:val="center"/>
          </w:tcPr>
          <w:p>
            <w:pPr>
              <w:spacing w:after="0"/>
            </w:pPr>
            <w:r/>
            <w:r>
              <w:rPr>
                <w:b w:val="0"/>
                <w:sz w:val="16"/>
              </w:rPr>
              <w:t>0.2353</w:t>
            </w:r>
          </w:p>
        </w:tc>
        <w:tc>
          <w:tcPr>
            <w:tcW w:type="dxa" w:w="1958"/>
            <w:vAlign w:val="center"/>
          </w:tcPr>
          <w:p>
            <w:pPr>
              <w:spacing w:after="0"/>
            </w:pPr>
            <w:r/>
            <w:r>
              <w:rPr>
                <w:b w:val="0"/>
                <w:sz w:val="16"/>
              </w:rPr>
              <w:t>0.2342</w:t>
            </w:r>
          </w:p>
        </w:tc>
        <w:tc>
          <w:tcPr>
            <w:tcW w:type="dxa" w:w="1958"/>
            <w:vAlign w:val="center"/>
          </w:tcPr>
          <w:p>
            <w:pPr>
              <w:spacing w:after="0"/>
            </w:pPr>
            <w:r/>
            <w:r>
              <w:rPr>
                <w:b w:val="0"/>
                <w:sz w:val="16"/>
              </w:rPr>
              <w:t>0.2339</w:t>
            </w:r>
          </w:p>
        </w:tc>
      </w:tr>
      <w:tr>
        <w:tc>
          <w:tcPr>
            <w:tcW w:type="dxa" w:w="1958"/>
            <w:vAlign w:val="center"/>
          </w:tcPr>
          <w:p>
            <w:pPr>
              <w:spacing w:after="0"/>
            </w:pPr>
            <w:r/>
            <w:r>
              <w:rPr>
                <w:b w:val="0"/>
                <w:sz w:val="16"/>
              </w:rPr>
              <w:t>GDSC2</w:t>
            </w:r>
          </w:p>
        </w:tc>
        <w:tc>
          <w:tcPr>
            <w:tcW w:type="dxa" w:w="1958"/>
            <w:vAlign w:val="center"/>
          </w:tcPr>
          <w:p>
            <w:pPr>
              <w:spacing w:after="0"/>
            </w:pPr>
            <w:r/>
            <w:r>
              <w:rPr>
                <w:b w:val="0"/>
                <w:sz w:val="16"/>
              </w:rPr>
              <w:t>0.2347</w:t>
            </w:r>
          </w:p>
        </w:tc>
        <w:tc>
          <w:tcPr>
            <w:tcW w:type="dxa" w:w="1958"/>
            <w:vAlign w:val="center"/>
          </w:tcPr>
          <w:p>
            <w:pPr>
              <w:spacing w:after="0"/>
            </w:pPr>
            <w:r/>
            <w:r>
              <w:rPr>
                <w:b w:val="0"/>
                <w:sz w:val="16"/>
              </w:rPr>
              <w:t>0.2326</w:t>
            </w:r>
          </w:p>
        </w:tc>
        <w:tc>
          <w:tcPr>
            <w:tcW w:type="dxa" w:w="1958"/>
            <w:vAlign w:val="center"/>
          </w:tcPr>
          <w:p>
            <w:pPr>
              <w:spacing w:after="0"/>
            </w:pPr>
            <w:r/>
            <w:r>
              <w:rPr>
                <w:b w:val="0"/>
                <w:sz w:val="16"/>
              </w:rPr>
              <w:t>0.2406</w:t>
            </w:r>
          </w:p>
        </w:tc>
        <w:tc>
          <w:tcPr>
            <w:tcW w:type="dxa" w:w="1958"/>
            <w:vAlign w:val="center"/>
          </w:tcPr>
          <w:p>
            <w:pPr>
              <w:spacing w:after="0"/>
            </w:pPr>
            <w:r/>
            <w:r>
              <w:rPr>
                <w:b w:val="0"/>
                <w:sz w:val="16"/>
              </w:rPr>
              <w:t>0.2387</w:t>
            </w:r>
          </w:p>
        </w:tc>
      </w:tr>
    </w:tbl>
    <w:p>
      <w:pPr>
        <w:spacing w:after="40"/>
      </w:pPr>
    </w:p>
    <w:p>
      <w:r>
        <w:rPr>
          <w:b/>
        </w:rPr>
        <w:t xml:space="preserve">Table 2a. </w:t>
      </w:r>
      <w:r>
        <w:t>Declared compounds and response-row counts.</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Dataset</w:t>
            </w:r>
          </w:p>
        </w:tc>
        <w:tc>
          <w:tcPr>
            <w:tcW w:type="dxa" w:w="3264"/>
            <w:vAlign w:val="center"/>
            <w:shd w:fill="D9EAF7"/>
          </w:tcPr>
          <w:p>
            <w:pPr>
              <w:spacing w:after="0"/>
            </w:pPr>
            <w:r/>
            <w:r>
              <w:rPr>
                <w:b/>
                <w:sz w:val="16"/>
              </w:rPr>
              <w:t>Compound</w:t>
            </w:r>
          </w:p>
        </w:tc>
        <w:tc>
          <w:tcPr>
            <w:tcW w:type="dxa" w:w="3264"/>
            <w:vAlign w:val="center"/>
            <w:shd w:fill="D9EAF7"/>
          </w:tcPr>
          <w:p>
            <w:pPr>
              <w:spacing w:after="0"/>
            </w:pPr>
            <w:r/>
            <w:r>
              <w:rPr>
                <w:b/>
                <w:sz w:val="16"/>
              </w:rPr>
              <w:t>Response rows</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AZD-8055</w:t>
            </w:r>
          </w:p>
        </w:tc>
        <w:tc>
          <w:tcPr>
            <w:tcW w:type="dxa" w:w="3264"/>
            <w:vAlign w:val="center"/>
          </w:tcPr>
          <w:p>
            <w:pPr>
              <w:spacing w:after="0"/>
            </w:pPr>
            <w:r/>
            <w:r>
              <w:rPr>
                <w:b w:val="0"/>
                <w:sz w:val="16"/>
              </w:rPr>
              <w:t>779</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LEPTOMYCIN B</w:t>
            </w:r>
          </w:p>
        </w:tc>
        <w:tc>
          <w:tcPr>
            <w:tcW w:type="dxa" w:w="3264"/>
            <w:vAlign w:val="center"/>
          </w:tcPr>
          <w:p>
            <w:pPr>
              <w:spacing w:after="0"/>
            </w:pPr>
            <w:r/>
            <w:r>
              <w:rPr>
                <w:b w:val="0"/>
                <w:sz w:val="16"/>
              </w:rPr>
              <w:t>786</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OUABAIN</w:t>
            </w:r>
          </w:p>
        </w:tc>
        <w:tc>
          <w:tcPr>
            <w:tcW w:type="dxa" w:w="3264"/>
            <w:vAlign w:val="center"/>
          </w:tcPr>
          <w:p>
            <w:pPr>
              <w:spacing w:after="0"/>
            </w:pPr>
            <w:r/>
            <w:r>
              <w:rPr>
                <w:b w:val="0"/>
                <w:sz w:val="16"/>
              </w:rPr>
              <w:t>778</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SR-II-138A</w:t>
            </w:r>
          </w:p>
        </w:tc>
        <w:tc>
          <w:tcPr>
            <w:tcW w:type="dxa" w:w="3264"/>
            <w:vAlign w:val="center"/>
          </w:tcPr>
          <w:p>
            <w:pPr>
              <w:spacing w:after="0"/>
            </w:pPr>
            <w:r/>
            <w:r>
              <w:rPr>
                <w:b w:val="0"/>
                <w:sz w:val="16"/>
              </w:rPr>
              <w:t>781</w:t>
            </w:r>
          </w:p>
        </w:tc>
      </w:tr>
      <w:tr>
        <w:tc>
          <w:tcPr>
            <w:tcW w:type="dxa" w:w="3264"/>
            <w:vAlign w:val="center"/>
          </w:tcPr>
          <w:p>
            <w:pPr>
              <w:spacing w:after="0"/>
            </w:pPr>
            <w:r/>
            <w:r>
              <w:rPr>
                <w:b w:val="0"/>
                <w:sz w:val="16"/>
              </w:rPr>
              <w:t>CTD2</w:t>
            </w:r>
          </w:p>
        </w:tc>
        <w:tc>
          <w:tcPr>
            <w:tcW w:type="dxa" w:w="3264"/>
            <w:vAlign w:val="center"/>
          </w:tcPr>
          <w:p>
            <w:pPr>
              <w:spacing w:after="0"/>
            </w:pPr>
            <w:r/>
            <w:r>
              <w:rPr>
                <w:b w:val="0"/>
                <w:sz w:val="16"/>
              </w:rPr>
              <w:t>VINCRISTINE</w:t>
            </w:r>
          </w:p>
        </w:tc>
        <w:tc>
          <w:tcPr>
            <w:tcW w:type="dxa" w:w="3264"/>
            <w:vAlign w:val="center"/>
          </w:tcPr>
          <w:p>
            <w:pPr>
              <w:spacing w:after="0"/>
            </w:pPr>
            <w:r/>
            <w:r>
              <w:rPr>
                <w:b w:val="0"/>
                <w:sz w:val="16"/>
              </w:rPr>
              <w:t>782</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ACY-1215 (GDSC1:264)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AICA RIBONUCLEOTIDE (GDSC1:1001)</w:t>
            </w:r>
          </w:p>
        </w:tc>
        <w:tc>
          <w:tcPr>
            <w:tcW w:type="dxa" w:w="3264"/>
            <w:vAlign w:val="center"/>
          </w:tcPr>
          <w:p>
            <w:pPr>
              <w:spacing w:after="0"/>
            </w:pPr>
            <w:r/>
            <w:r>
              <w:rPr>
                <w:b w:val="0"/>
                <w:sz w:val="16"/>
              </w:rPr>
              <w:t>903</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DACOMITINIB (GDSC1:363)</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GSK1059615 (GDSC1:374)</w:t>
            </w:r>
          </w:p>
        </w:tc>
        <w:tc>
          <w:tcPr>
            <w:tcW w:type="dxa" w:w="3264"/>
            <w:vAlign w:val="center"/>
          </w:tcPr>
          <w:p>
            <w:pPr>
              <w:spacing w:after="0"/>
            </w:pPr>
            <w:r/>
            <w:r>
              <w:rPr>
                <w:b w:val="0"/>
                <w:sz w:val="16"/>
              </w:rPr>
              <w:t>889</w:t>
            </w:r>
          </w:p>
        </w:tc>
      </w:tr>
      <w:tr>
        <w:tc>
          <w:tcPr>
            <w:tcW w:type="dxa" w:w="3264"/>
            <w:vAlign w:val="center"/>
          </w:tcPr>
          <w:p>
            <w:pPr>
              <w:spacing w:after="0"/>
            </w:pPr>
            <w:r/>
            <w:r>
              <w:rPr>
                <w:b w:val="0"/>
                <w:sz w:val="16"/>
              </w:rPr>
              <w:t>GDSC1</w:t>
            </w:r>
          </w:p>
        </w:tc>
        <w:tc>
          <w:tcPr>
            <w:tcW w:type="dxa" w:w="3264"/>
            <w:vAlign w:val="center"/>
          </w:tcPr>
          <w:p>
            <w:pPr>
              <w:spacing w:after="0"/>
            </w:pPr>
            <w:r/>
            <w:r>
              <w:rPr>
                <w:b w:val="0"/>
                <w:sz w:val="16"/>
              </w:rPr>
              <w:t>TENOVIN-6 (GDSC1:342)</w:t>
            </w:r>
          </w:p>
        </w:tc>
        <w:tc>
          <w:tcPr>
            <w:tcW w:type="dxa" w:w="3264"/>
            <w:vAlign w:val="center"/>
          </w:tcPr>
          <w:p>
            <w:pPr>
              <w:spacing w:after="0"/>
            </w:pPr>
            <w:r/>
            <w:r>
              <w:rPr>
                <w:b w:val="0"/>
                <w:sz w:val="16"/>
              </w:rPr>
              <w:t>888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MG-132 (GDSC2:1862)</w:t>
            </w:r>
          </w:p>
        </w:tc>
        <w:tc>
          <w:tcPr>
            <w:tcW w:type="dxa" w:w="3264"/>
            <w:vAlign w:val="center"/>
          </w:tcPr>
          <w:p>
            <w:pPr>
              <w:spacing w:after="0"/>
            </w:pPr>
            <w:r/>
            <w:r>
              <w:rPr>
                <w:b w:val="0"/>
                <w:sz w:val="16"/>
              </w:rPr>
              <w:t>938</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MK-2206 (GDSC2:1053)</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NAVITOCLAX (GDSC2:1011)</w:t>
            </w:r>
          </w:p>
        </w:tc>
        <w:tc>
          <w:tcPr>
            <w:tcW w:type="dxa" w:w="3264"/>
            <w:vAlign w:val="center"/>
          </w:tcPr>
          <w:p>
            <w:pPr>
              <w:spacing w:after="0"/>
            </w:pPr>
            <w:r/>
            <w:r>
              <w:rPr>
                <w:b w:val="0"/>
                <w:sz w:val="16"/>
              </w:rPr>
              <w:t>937</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PICTILISIB (GDSC2:1058)</w:t>
            </w:r>
          </w:p>
        </w:tc>
        <w:tc>
          <w:tcPr>
            <w:tcW w:type="dxa" w:w="3264"/>
            <w:vAlign w:val="center"/>
          </w:tcPr>
          <w:p>
            <w:pPr>
              <w:spacing w:after="0"/>
            </w:pPr>
            <w:r/>
            <w:r>
              <w:rPr>
                <w:b w:val="0"/>
                <w:sz w:val="16"/>
              </w:rPr>
              <w:t>936</w:t>
            </w:r>
          </w:p>
        </w:tc>
      </w:tr>
      <w:tr>
        <w:tc>
          <w:tcPr>
            <w:tcW w:type="dxa" w:w="3264"/>
            <w:vAlign w:val="center"/>
          </w:tcPr>
          <w:p>
            <w:pPr>
              <w:spacing w:after="0"/>
            </w:pPr>
            <w:r/>
            <w:r>
              <w:rPr>
                <w:b w:val="0"/>
                <w:sz w:val="16"/>
              </w:rPr>
              <w:t>GDSC2</w:t>
            </w:r>
          </w:p>
        </w:tc>
        <w:tc>
          <w:tcPr>
            <w:tcW w:type="dxa" w:w="3264"/>
            <w:vAlign w:val="center"/>
          </w:tcPr>
          <w:p>
            <w:pPr>
              <w:spacing w:after="0"/>
            </w:pPr>
            <w:r/>
            <w:r>
              <w:rPr>
                <w:b w:val="0"/>
                <w:sz w:val="16"/>
              </w:rPr>
              <w:t>STAUROSPORINE (GDSC2:1034)</w:t>
            </w:r>
          </w:p>
        </w:tc>
        <w:tc>
          <w:tcPr>
            <w:tcW w:type="dxa" w:w="3264"/>
            <w:vAlign w:val="center"/>
          </w:tcPr>
          <w:p>
            <w:pPr>
              <w:spacing w:after="0"/>
            </w:pPr>
            <w:r/>
            <w:r>
              <w:rPr>
                <w:b w:val="0"/>
                <w:sz w:val="16"/>
              </w:rPr>
              <w:t>938</w:t>
            </w:r>
          </w:p>
        </w:tc>
      </w:tr>
    </w:tbl>
    <w:p>
      <w:pPr>
        <w:spacing w:after="40"/>
      </w:pPr>
    </w:p>
    <w:p>
      <w:r>
        <w:rPr>
          <w:b/>
        </w:rPr>
        <w:t xml:space="preserve">Table 2. </w:t>
      </w:r>
      <w:r>
        <w:t>Drug-held-out repeated-seed RMSE.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Expression</w:t>
            </w:r>
          </w:p>
        </w:tc>
        <w:tc>
          <w:tcPr>
            <w:tcW w:type="dxa" w:w="2448"/>
            <w:vAlign w:val="center"/>
            <w:shd w:fill="D9EAF7"/>
          </w:tcPr>
          <w:p>
            <w:pPr>
              <w:spacing w:after="0"/>
            </w:pPr>
            <w:r/>
            <w:r>
              <w:rPr>
                <w:b/>
                <w:sz w:val="16"/>
              </w:rPr>
              <w:t>Fusion</w:t>
            </w:r>
          </w:p>
        </w:tc>
        <w:tc>
          <w:tcPr>
            <w:tcW w:type="dxa" w:w="2448"/>
            <w:vAlign w:val="center"/>
            <w:shd w:fill="D9EAF7"/>
          </w:tcPr>
          <w:p>
            <w:pPr>
              <w:spacing w:after="0"/>
            </w:pPr>
            <w:r/>
            <w:r>
              <w:rPr>
                <w:b/>
                <w:sz w:val="16"/>
              </w:rPr>
              <w:t>Fusion delta</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0.1696</w:t>
            </w:r>
          </w:p>
        </w:tc>
        <w:tc>
          <w:tcPr>
            <w:tcW w:type="dxa" w:w="2448"/>
            <w:vAlign w:val="center"/>
          </w:tcPr>
          <w:p>
            <w:pPr>
              <w:spacing w:after="0"/>
            </w:pPr>
            <w:r/>
            <w:r>
              <w:rPr>
                <w:b w:val="0"/>
                <w:sz w:val="16"/>
              </w:rPr>
              <w:t>0.1672</w:t>
            </w:r>
          </w:p>
        </w:tc>
        <w:tc>
          <w:tcPr>
            <w:tcW w:type="dxa" w:w="2448"/>
            <w:vAlign w:val="center"/>
          </w:tcPr>
          <w:p>
            <w:pPr>
              <w:spacing w:after="0"/>
            </w:pPr>
            <w:r/>
            <w:r>
              <w:rPr>
                <w:b w:val="0"/>
                <w:sz w:val="16"/>
              </w:rPr>
              <w:t>-0.0024</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0.2538</w:t>
            </w:r>
          </w:p>
        </w:tc>
        <w:tc>
          <w:tcPr>
            <w:tcW w:type="dxa" w:w="2448"/>
            <w:vAlign w:val="center"/>
          </w:tcPr>
          <w:p>
            <w:pPr>
              <w:spacing w:after="0"/>
            </w:pPr>
            <w:r/>
            <w:r>
              <w:rPr>
                <w:b w:val="0"/>
                <w:sz w:val="16"/>
              </w:rPr>
              <w:t>0.2527</w:t>
            </w:r>
          </w:p>
        </w:tc>
        <w:tc>
          <w:tcPr>
            <w:tcW w:type="dxa" w:w="2448"/>
            <w:vAlign w:val="center"/>
          </w:tcPr>
          <w:p>
            <w:pPr>
              <w:spacing w:after="0"/>
            </w:pPr>
            <w:r/>
            <w:r>
              <w:rPr>
                <w:b w:val="0"/>
                <w:sz w:val="16"/>
              </w:rPr>
              <w:t>-0.0011</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0.2329</w:t>
            </w:r>
          </w:p>
        </w:tc>
        <w:tc>
          <w:tcPr>
            <w:tcW w:type="dxa" w:w="2448"/>
            <w:vAlign w:val="center"/>
          </w:tcPr>
          <w:p>
            <w:pPr>
              <w:spacing w:after="0"/>
            </w:pPr>
            <w:r/>
            <w:r>
              <w:rPr>
                <w:b w:val="0"/>
                <w:sz w:val="16"/>
              </w:rPr>
              <w:t>0.2326</w:t>
            </w:r>
          </w:p>
        </w:tc>
        <w:tc>
          <w:tcPr>
            <w:tcW w:type="dxa" w:w="2448"/>
            <w:vAlign w:val="center"/>
          </w:tcPr>
          <w:p>
            <w:pPr>
              <w:spacing w:after="0"/>
            </w:pPr>
            <w:r/>
            <w:r>
              <w:rPr>
                <w:b w:val="0"/>
                <w:sz w:val="16"/>
              </w:rPr>
              <w:t>-0.0003</w:t>
            </w:r>
          </w:p>
        </w:tc>
      </w:tr>
      <w:tr>
        <w:tc>
          <w:tcPr>
            <w:tcW w:type="dxa" w:w="2448"/>
            <w:vAlign w:val="center"/>
          </w:tcPr>
          <w:p>
            <w:pPr>
              <w:spacing w:after="0"/>
            </w:pPr>
            <w:r/>
            <w:r>
              <w:rPr>
                <w:b w:val="0"/>
                <w:sz w:val="16"/>
              </w:rPr>
              <w:t>20260824</w:t>
            </w:r>
          </w:p>
        </w:tc>
        <w:tc>
          <w:tcPr>
            <w:tcW w:type="dxa" w:w="2448"/>
            <w:vAlign w:val="center"/>
          </w:tcPr>
          <w:p>
            <w:pPr>
              <w:spacing w:after="0"/>
            </w:pPr>
            <w:r/>
            <w:r>
              <w:rPr>
                <w:b w:val="0"/>
                <w:sz w:val="16"/>
              </w:rPr>
              <w:t>0.2299</w:t>
            </w:r>
          </w:p>
        </w:tc>
        <w:tc>
          <w:tcPr>
            <w:tcW w:type="dxa" w:w="2448"/>
            <w:vAlign w:val="center"/>
          </w:tcPr>
          <w:p>
            <w:pPr>
              <w:spacing w:after="0"/>
            </w:pPr>
            <w:r/>
            <w:r>
              <w:rPr>
                <w:b w:val="0"/>
                <w:sz w:val="16"/>
              </w:rPr>
              <w:t>0.2294</w:t>
            </w:r>
          </w:p>
        </w:tc>
        <w:tc>
          <w:tcPr>
            <w:tcW w:type="dxa" w:w="2448"/>
            <w:vAlign w:val="center"/>
          </w:tcPr>
          <w:p>
            <w:pPr>
              <w:spacing w:after="0"/>
            </w:pPr>
            <w:r/>
            <w:r>
              <w:rPr>
                <w:b w:val="0"/>
                <w:sz w:val="16"/>
              </w:rPr>
              <w:t>-0.0005</w:t>
            </w:r>
          </w:p>
        </w:tc>
      </w:tr>
      <w:tr>
        <w:tc>
          <w:tcPr>
            <w:tcW w:type="dxa" w:w="2448"/>
            <w:vAlign w:val="center"/>
          </w:tcPr>
          <w:p>
            <w:pPr>
              <w:spacing w:after="0"/>
            </w:pPr>
            <w:r/>
            <w:r>
              <w:rPr>
                <w:b w:val="0"/>
                <w:sz w:val="16"/>
              </w:rPr>
              <w:t>20260825</w:t>
            </w:r>
          </w:p>
        </w:tc>
        <w:tc>
          <w:tcPr>
            <w:tcW w:type="dxa" w:w="2448"/>
            <w:vAlign w:val="center"/>
          </w:tcPr>
          <w:p>
            <w:pPr>
              <w:spacing w:after="0"/>
            </w:pPr>
            <w:r/>
            <w:r>
              <w:rPr>
                <w:b w:val="0"/>
                <w:sz w:val="16"/>
              </w:rPr>
              <w:t>0.2776</w:t>
            </w:r>
          </w:p>
        </w:tc>
        <w:tc>
          <w:tcPr>
            <w:tcW w:type="dxa" w:w="2448"/>
            <w:vAlign w:val="center"/>
          </w:tcPr>
          <w:p>
            <w:pPr>
              <w:spacing w:after="0"/>
            </w:pPr>
            <w:r/>
            <w:r>
              <w:rPr>
                <w:b w:val="0"/>
                <w:sz w:val="16"/>
              </w:rPr>
              <w:t>0.2788</w:t>
            </w:r>
          </w:p>
        </w:tc>
        <w:tc>
          <w:tcPr>
            <w:tcW w:type="dxa" w:w="2448"/>
            <w:vAlign w:val="center"/>
          </w:tcPr>
          <w:p>
            <w:pPr>
              <w:spacing w:after="0"/>
            </w:pPr>
            <w:r/>
            <w:r>
              <w:rPr>
                <w:b w:val="0"/>
                <w:sz w:val="16"/>
              </w:rPr>
              <w:t>+0.0012</w:t>
            </w:r>
          </w:p>
        </w:tc>
      </w:tr>
    </w:tbl>
    <w:p>
      <w:pPr>
        <w:spacing w:after="40"/>
      </w:pPr>
    </w:p>
    <w:p>
      <w:r>
        <w:rPr>
          <w:b/>
        </w:rPr>
        <w:t xml:space="preserve">Table 3. </w:t>
      </w:r>
      <w:r>
        <w:t>Drug-held-out MAE and RMSE by model and seed.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pPr>
            <w:r/>
            <w:r>
              <w:rPr>
                <w:b/>
                <w:sz w:val="16"/>
              </w:rPr>
              <w:t>Seed</w:t>
            </w:r>
          </w:p>
        </w:tc>
        <w:tc>
          <w:tcPr>
            <w:tcW w:type="dxa" w:w="1958"/>
            <w:vAlign w:val="center"/>
            <w:shd w:fill="D9EAF7"/>
          </w:tcPr>
          <w:p>
            <w:pPr>
              <w:spacing w:after="0"/>
            </w:pPr>
            <w:r/>
            <w:r>
              <w:rPr>
                <w:b/>
                <w:sz w:val="16"/>
              </w:rPr>
              <w:t>Model</w:t>
            </w:r>
          </w:p>
        </w:tc>
        <w:tc>
          <w:tcPr>
            <w:tcW w:type="dxa" w:w="1958"/>
            <w:vAlign w:val="center"/>
            <w:shd w:fill="D9EAF7"/>
          </w:tcPr>
          <w:p>
            <w:pPr>
              <w:spacing w:after="0"/>
            </w:pPr>
            <w:r/>
            <w:r>
              <w:rPr>
                <w:b/>
                <w:sz w:val="16"/>
              </w:rPr>
              <w:t>MAE</w:t>
            </w:r>
          </w:p>
        </w:tc>
        <w:tc>
          <w:tcPr>
            <w:tcW w:type="dxa" w:w="1958"/>
            <w:vAlign w:val="center"/>
            <w:shd w:fill="D9EAF7"/>
          </w:tcPr>
          <w:p>
            <w:pPr>
              <w:spacing w:after="0"/>
            </w:pPr>
            <w:r/>
            <w:r>
              <w:rPr>
                <w:b/>
                <w:sz w:val="16"/>
              </w:rPr>
              <w:t>RMSE</w:t>
            </w:r>
          </w:p>
        </w:tc>
        <w:tc>
          <w:tcPr>
            <w:tcW w:type="dxa" w:w="1958"/>
            <w:vAlign w:val="center"/>
            <w:shd w:fill="D9EAF7"/>
          </w:tcPr>
          <w:p>
            <w:pPr>
              <w:spacing w:after="0"/>
            </w:pPr>
            <w:r/>
            <w:r>
              <w:rPr>
                <w:b/>
                <w:sz w:val="16"/>
              </w:rPr>
              <w:t>Selected features</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0.1398</w:t>
            </w:r>
          </w:p>
        </w:tc>
        <w:tc>
          <w:tcPr>
            <w:tcW w:type="dxa" w:w="1958"/>
            <w:vAlign w:val="center"/>
          </w:tcPr>
          <w:p>
            <w:pPr>
              <w:spacing w:after="0"/>
            </w:pPr>
            <w:r/>
            <w:r>
              <w:rPr>
                <w:b w:val="0"/>
                <w:sz w:val="16"/>
              </w:rPr>
              <w:t>0.1696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0.1483</w:t>
            </w:r>
          </w:p>
        </w:tc>
        <w:tc>
          <w:tcPr>
            <w:tcW w:type="dxa" w:w="1958"/>
            <w:vAlign w:val="center"/>
          </w:tcPr>
          <w:p>
            <w:pPr>
              <w:spacing w:after="0"/>
            </w:pPr>
            <w:r/>
            <w:r>
              <w:rPr>
                <w:b w:val="0"/>
                <w:sz w:val="16"/>
              </w:rPr>
              <w:t>0.1786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0.1374</w:t>
            </w:r>
          </w:p>
        </w:tc>
        <w:tc>
          <w:tcPr>
            <w:tcW w:type="dxa" w:w="1958"/>
            <w:vAlign w:val="center"/>
          </w:tcPr>
          <w:p>
            <w:pPr>
              <w:spacing w:after="0"/>
            </w:pPr>
            <w:r/>
            <w:r>
              <w:rPr>
                <w:b w:val="0"/>
                <w:sz w:val="16"/>
              </w:rPr>
              <w:t>0.1674</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20260821</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0.1370</w:t>
            </w:r>
          </w:p>
        </w:tc>
        <w:tc>
          <w:tcPr>
            <w:tcW w:type="dxa" w:w="1958"/>
            <w:vAlign w:val="center"/>
          </w:tcPr>
          <w:p>
            <w:pPr>
              <w:spacing w:after="0"/>
            </w:pPr>
            <w:r/>
            <w:r>
              <w:rPr>
                <w:b w:val="0"/>
                <w:sz w:val="16"/>
              </w:rPr>
              <w:t>0.1672</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0.2226</w:t>
            </w:r>
          </w:p>
        </w:tc>
        <w:tc>
          <w:tcPr>
            <w:tcW w:type="dxa" w:w="1958"/>
            <w:vAlign w:val="center"/>
          </w:tcPr>
          <w:p>
            <w:pPr>
              <w:spacing w:after="0"/>
            </w:pPr>
            <w:r/>
            <w:r>
              <w:rPr>
                <w:b w:val="0"/>
                <w:sz w:val="16"/>
              </w:rPr>
              <w:t>0.2538</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0.2319</w:t>
            </w:r>
          </w:p>
        </w:tc>
        <w:tc>
          <w:tcPr>
            <w:tcW w:type="dxa" w:w="1958"/>
            <w:vAlign w:val="center"/>
          </w:tcPr>
          <w:p>
            <w:pPr>
              <w:spacing w:after="0"/>
            </w:pPr>
            <w:r/>
            <w:r>
              <w:rPr>
                <w:b w:val="0"/>
                <w:sz w:val="16"/>
              </w:rPr>
              <w:t>0.2620</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0.2208</w:t>
            </w:r>
          </w:p>
        </w:tc>
        <w:tc>
          <w:tcPr>
            <w:tcW w:type="dxa" w:w="1958"/>
            <w:vAlign w:val="center"/>
          </w:tcPr>
          <w:p>
            <w:pPr>
              <w:spacing w:after="0"/>
            </w:pPr>
            <w:r/>
            <w:r>
              <w:rPr>
                <w:b w:val="0"/>
                <w:sz w:val="16"/>
              </w:rPr>
              <w:t>0.2529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20260822</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0.2206</w:t>
            </w:r>
          </w:p>
        </w:tc>
        <w:tc>
          <w:tcPr>
            <w:tcW w:type="dxa" w:w="1958"/>
            <w:vAlign w:val="center"/>
          </w:tcPr>
          <w:p>
            <w:pPr>
              <w:spacing w:after="0"/>
            </w:pPr>
            <w:r/>
            <w:r>
              <w:rPr>
                <w:b w:val="0"/>
                <w:sz w:val="16"/>
              </w:rPr>
              <w:t>0.2527</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0.1913</w:t>
            </w:r>
          </w:p>
        </w:tc>
        <w:tc>
          <w:tcPr>
            <w:tcW w:type="dxa" w:w="1958"/>
            <w:vAlign w:val="center"/>
          </w:tcPr>
          <w:p>
            <w:pPr>
              <w:spacing w:after="0"/>
            </w:pPr>
            <w:r/>
            <w:r>
              <w:rPr>
                <w:b w:val="0"/>
                <w:sz w:val="16"/>
              </w:rPr>
              <w:t>0.2329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0.1939</w:t>
            </w:r>
          </w:p>
        </w:tc>
        <w:tc>
          <w:tcPr>
            <w:tcW w:type="dxa" w:w="1958"/>
            <w:vAlign w:val="center"/>
          </w:tcPr>
          <w:p>
            <w:pPr>
              <w:spacing w:after="0"/>
            </w:pPr>
            <w:r/>
            <w:r>
              <w:rPr>
                <w:b w:val="0"/>
                <w:sz w:val="16"/>
              </w:rPr>
              <w:t>0.2332</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0.1904</w:t>
            </w:r>
          </w:p>
        </w:tc>
        <w:tc>
          <w:tcPr>
            <w:tcW w:type="dxa" w:w="1958"/>
            <w:vAlign w:val="center"/>
          </w:tcPr>
          <w:p>
            <w:pPr>
              <w:spacing w:after="0"/>
            </w:pPr>
            <w:r/>
            <w:r>
              <w:rPr>
                <w:b w:val="0"/>
                <w:sz w:val="16"/>
              </w:rPr>
              <w:t>0.2325</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20260823</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0.1902</w:t>
            </w:r>
          </w:p>
        </w:tc>
        <w:tc>
          <w:tcPr>
            <w:tcW w:type="dxa" w:w="1958"/>
            <w:vAlign w:val="center"/>
          </w:tcPr>
          <w:p>
            <w:pPr>
              <w:spacing w:after="0"/>
            </w:pPr>
            <w:r/>
            <w:r>
              <w:rPr>
                <w:b w:val="0"/>
                <w:sz w:val="16"/>
              </w:rPr>
              <w:t>0.2326</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0.1955</w:t>
            </w:r>
          </w:p>
        </w:tc>
        <w:tc>
          <w:tcPr>
            <w:tcW w:type="dxa" w:w="1958"/>
            <w:vAlign w:val="center"/>
          </w:tcPr>
          <w:p>
            <w:pPr>
              <w:spacing w:after="0"/>
            </w:pPr>
            <w:r/>
            <w:r>
              <w:rPr>
                <w:b w:val="0"/>
                <w:sz w:val="16"/>
              </w:rPr>
              <w:t>0.2299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0.1991</w:t>
            </w:r>
          </w:p>
        </w:tc>
        <w:tc>
          <w:tcPr>
            <w:tcW w:type="dxa" w:w="1958"/>
            <w:vAlign w:val="center"/>
          </w:tcPr>
          <w:p>
            <w:pPr>
              <w:spacing w:after="0"/>
            </w:pPr>
            <w:r/>
            <w:r>
              <w:rPr>
                <w:b w:val="0"/>
                <w:sz w:val="16"/>
              </w:rPr>
              <w:t>0.2313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0.2293</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20260824</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0.1937</w:t>
            </w:r>
          </w:p>
        </w:tc>
        <w:tc>
          <w:tcPr>
            <w:tcW w:type="dxa" w:w="1958"/>
            <w:vAlign w:val="center"/>
          </w:tcPr>
          <w:p>
            <w:pPr>
              <w:spacing w:after="0"/>
            </w:pPr>
            <w:r/>
            <w:r>
              <w:rPr>
                <w:b w:val="0"/>
                <w:sz w:val="16"/>
              </w:rPr>
              <w:t>0.2294</w:t>
            </w:r>
          </w:p>
        </w:tc>
        <w:tc>
          <w:tcPr>
            <w:tcW w:type="dxa" w:w="1958"/>
            <w:vAlign w:val="center"/>
          </w:tcPr>
          <w:p>
            <w:pPr>
              <w:spacing w:after="0"/>
            </w:pPr>
            <w:r/>
            <w:r>
              <w:rPr>
                <w:b w:val="0"/>
                <w:sz w:val="16"/>
              </w:rPr>
              <w:t>6000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expression</w:t>
            </w:r>
          </w:p>
        </w:tc>
        <w:tc>
          <w:tcPr>
            <w:tcW w:type="dxa" w:w="1958"/>
            <w:vAlign w:val="center"/>
          </w:tcPr>
          <w:p>
            <w:pPr>
              <w:spacing w:after="0"/>
            </w:pPr>
            <w:r/>
            <w:r>
              <w:rPr>
                <w:b w:val="0"/>
                <w:sz w:val="16"/>
              </w:rPr>
              <w:t>0.2396</w:t>
            </w:r>
          </w:p>
        </w:tc>
        <w:tc>
          <w:tcPr>
            <w:tcW w:type="dxa" w:w="1958"/>
            <w:vAlign w:val="center"/>
          </w:tcPr>
          <w:p>
            <w:pPr>
              <w:spacing w:after="0"/>
            </w:pPr>
            <w:r/>
            <w:r>
              <w:rPr>
                <w:b w:val="0"/>
                <w:sz w:val="16"/>
              </w:rPr>
              <w:t>0.2776</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copy_number</w:t>
            </w:r>
          </w:p>
        </w:tc>
        <w:tc>
          <w:tcPr>
            <w:tcW w:type="dxa" w:w="1958"/>
            <w:vAlign w:val="center"/>
          </w:tcPr>
          <w:p>
            <w:pPr>
              <w:spacing w:after="0"/>
            </w:pPr>
            <w:r/>
            <w:r>
              <w:rPr>
                <w:b w:val="0"/>
                <w:sz w:val="16"/>
              </w:rPr>
              <w:t>0.2349</w:t>
            </w:r>
          </w:p>
        </w:tc>
        <w:tc>
          <w:tcPr>
            <w:tcW w:type="dxa" w:w="1958"/>
            <w:vAlign w:val="center"/>
          </w:tcPr>
          <w:p>
            <w:pPr>
              <w:spacing w:after="0"/>
            </w:pPr>
            <w:r/>
            <w:r>
              <w:rPr>
                <w:b w:val="0"/>
                <w:sz w:val="16"/>
              </w:rPr>
              <w:t>0.2699</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mutation</w:t>
            </w:r>
          </w:p>
        </w:tc>
        <w:tc>
          <w:tcPr>
            <w:tcW w:type="dxa" w:w="1958"/>
            <w:vAlign w:val="center"/>
          </w:tcPr>
          <w:p>
            <w:pPr>
              <w:spacing w:after="0"/>
            </w:pPr>
            <w:r/>
            <w:r>
              <w:rPr>
                <w:b w:val="0"/>
                <w:sz w:val="16"/>
              </w:rPr>
              <w:t>0.2395</w:t>
            </w:r>
          </w:p>
        </w:tc>
        <w:tc>
          <w:tcPr>
            <w:tcW w:type="dxa" w:w="1958"/>
            <w:vAlign w:val="center"/>
          </w:tcPr>
          <w:p>
            <w:pPr>
              <w:spacing w:after="0"/>
            </w:pPr>
            <w:r/>
            <w:r>
              <w:rPr>
                <w:b w:val="0"/>
                <w:sz w:val="16"/>
              </w:rPr>
              <w:t>0.2787</w:t>
            </w:r>
          </w:p>
        </w:tc>
        <w:tc>
          <w:tcPr>
            <w:tcW w:type="dxa" w:w="1958"/>
            <w:vAlign w:val="center"/>
          </w:tcPr>
          <w:p>
            <w:pPr>
              <w:spacing w:after="0"/>
            </w:pPr>
            <w:r/>
            <w:r>
              <w:rPr>
                <w:b w:val="0"/>
                <w:sz w:val="16"/>
              </w:rPr>
              <w:t>2000</w:t>
            </w:r>
          </w:p>
        </w:tc>
      </w:tr>
      <w:tr>
        <w:tc>
          <w:tcPr>
            <w:tcW w:type="dxa" w:w="1958"/>
            <w:vAlign w:val="center"/>
          </w:tcPr>
          <w:p>
            <w:pPr>
              <w:spacing w:after="0"/>
            </w:pPr>
            <w:r/>
            <w:r>
              <w:rPr>
                <w:b w:val="0"/>
                <w:sz w:val="16"/>
              </w:rPr>
              <w:t>20260825</w:t>
            </w:r>
          </w:p>
        </w:tc>
        <w:tc>
          <w:tcPr>
            <w:tcW w:type="dxa" w:w="1958"/>
            <w:vAlign w:val="center"/>
          </w:tcPr>
          <w:p>
            <w:pPr>
              <w:spacing w:after="0"/>
            </w:pPr>
            <w:r/>
            <w:r>
              <w:rPr>
                <w:b w:val="0"/>
                <w:sz w:val="16"/>
              </w:rPr>
              <w:t>fusion</w:t>
            </w:r>
          </w:p>
        </w:tc>
        <w:tc>
          <w:tcPr>
            <w:tcW w:type="dxa" w:w="1958"/>
            <w:vAlign w:val="center"/>
          </w:tcPr>
          <w:p>
            <w:pPr>
              <w:spacing w:after="0"/>
            </w:pPr>
            <w:r/>
            <w:r>
              <w:rPr>
                <w:b w:val="0"/>
                <w:sz w:val="16"/>
              </w:rPr>
              <w:t>0.2397</w:t>
            </w:r>
          </w:p>
        </w:tc>
        <w:tc>
          <w:tcPr>
            <w:tcW w:type="dxa" w:w="1958"/>
            <w:vAlign w:val="center"/>
          </w:tcPr>
          <w:p>
            <w:pPr>
              <w:spacing w:after="0"/>
            </w:pPr>
            <w:r/>
            <w:r>
              <w:rPr>
                <w:b w:val="0"/>
                <w:sz w:val="16"/>
              </w:rPr>
              <w:t>0.2788</w:t>
            </w:r>
          </w:p>
        </w:tc>
        <w:tc>
          <w:tcPr>
            <w:tcW w:type="dxa" w:w="1958"/>
            <w:vAlign w:val="center"/>
          </w:tcPr>
          <w:p>
            <w:pPr>
              <w:spacing w:after="0"/>
            </w:pPr>
            <w:r/>
            <w:r>
              <w:rPr>
                <w:b w:val="0"/>
                <w:sz w:val="16"/>
              </w:rPr>
              <w:t>6000</w:t>
            </w:r>
          </w:p>
        </w:tc>
      </w:tr>
    </w:tbl>
    <w:p>
      <w:pPr>
        <w:spacing w:after="40"/>
      </w:pPr>
    </w:p>
    <w:p>
      <w:r>
        <w:br w:type="page"/>
      </w:r>
    </w:p>
    <w:p>
      <w:r>
        <w:rPr>
          <w:b/>
        </w:rPr>
        <w:t xml:space="preserve">Table 4. </w:t>
      </w:r>
      <w:r>
        <w:t>Leave-one-dataset-out MAE, RMSE, and evaluation strata.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pPr>
            <w:r/>
            <w:r>
              <w:rPr>
                <w:b/>
                <w:sz w:val="16"/>
              </w:rPr>
              <w:t>Held-out dataset</w:t>
            </w:r>
          </w:p>
        </w:tc>
        <w:tc>
          <w:tcPr>
            <w:tcW w:type="dxa" w:w="1632"/>
            <w:vAlign w:val="center"/>
            <w:shd w:fill="D9EAF7"/>
          </w:tcPr>
          <w:p>
            <w:pPr>
              <w:spacing w:after="0"/>
            </w:pPr>
            <w:r/>
            <w:r>
              <w:rPr>
                <w:b/>
                <w:sz w:val="16"/>
              </w:rPr>
              <w:t>Model</w:t>
            </w:r>
          </w:p>
        </w:tc>
        <w:tc>
          <w:tcPr>
            <w:tcW w:type="dxa" w:w="1632"/>
            <w:vAlign w:val="center"/>
            <w:shd w:fill="D9EAF7"/>
          </w:tcPr>
          <w:p>
            <w:pPr>
              <w:spacing w:after="0"/>
            </w:pPr>
            <w:r/>
            <w:r>
              <w:rPr>
                <w:b/>
                <w:sz w:val="16"/>
              </w:rPr>
              <w:t>Train rows</w:t>
            </w:r>
          </w:p>
        </w:tc>
        <w:tc>
          <w:tcPr>
            <w:tcW w:type="dxa" w:w="1632"/>
            <w:vAlign w:val="center"/>
            <w:shd w:fill="D9EAF7"/>
          </w:tcPr>
          <w:p>
            <w:pPr>
              <w:spacing w:after="0"/>
            </w:pPr>
            <w:r/>
            <w:r>
              <w:rPr>
                <w:b/>
                <w:sz w:val="16"/>
              </w:rPr>
              <w:t>Test rows</w:t>
            </w:r>
          </w:p>
        </w:tc>
        <w:tc>
          <w:tcPr>
            <w:tcW w:type="dxa" w:w="1632"/>
            <w:vAlign w:val="center"/>
            <w:shd w:fill="D9EAF7"/>
          </w:tcPr>
          <w:p>
            <w:pPr>
              <w:spacing w:after="0"/>
            </w:pPr>
            <w:r/>
            <w:r>
              <w:rPr>
                <w:b/>
                <w:sz w:val="16"/>
              </w:rPr>
              <w:t>MAE</w:t>
            </w:r>
          </w:p>
        </w:tc>
        <w:tc>
          <w:tcPr>
            <w:tcW w:type="dxa" w:w="1632"/>
            <w:vAlign w:val="center"/>
            <w:shd w:fill="D9EAF7"/>
          </w:tcPr>
          <w:p>
            <w:pPr>
              <w:spacing w:after="0"/>
            </w:pPr>
            <w:r/>
            <w:r>
              <w:rPr>
                <w:b/>
                <w:sz w:val="16"/>
              </w:rPr>
              <w:t>RMSE</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0.2745</w:t>
            </w:r>
          </w:p>
        </w:tc>
        <w:tc>
          <w:tcPr>
            <w:tcW w:type="dxa" w:w="1632"/>
            <w:vAlign w:val="center"/>
          </w:tcPr>
          <w:p>
            <w:pPr>
              <w:spacing w:after="0"/>
            </w:pPr>
            <w:r/>
            <w:r>
              <w:rPr>
                <w:b w:val="0"/>
                <w:sz w:val="16"/>
              </w:rPr>
              <w:t>0.3231</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0.2779</w:t>
            </w:r>
          </w:p>
        </w:tc>
        <w:tc>
          <w:tcPr>
            <w:tcW w:type="dxa" w:w="1632"/>
            <w:vAlign w:val="center"/>
          </w:tcPr>
          <w:p>
            <w:pPr>
              <w:spacing w:after="0"/>
            </w:pPr>
            <w:r/>
            <w:r>
              <w:rPr>
                <w:b w:val="0"/>
                <w:sz w:val="16"/>
              </w:rPr>
              <w:t>0.3287</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0.2803</w:t>
            </w:r>
          </w:p>
        </w:tc>
        <w:tc>
          <w:tcPr>
            <w:tcW w:type="dxa" w:w="1632"/>
            <w:vAlign w:val="center"/>
          </w:tcPr>
          <w:p>
            <w:pPr>
              <w:spacing w:after="0"/>
            </w:pPr>
            <w:r/>
            <w:r>
              <w:rPr>
                <w:b w:val="0"/>
                <w:sz w:val="16"/>
              </w:rPr>
              <w:t>0.3325</w:t>
            </w:r>
          </w:p>
        </w:tc>
      </w:tr>
      <w:tr>
        <w:tc>
          <w:tcPr>
            <w:tcW w:type="dxa" w:w="1632"/>
            <w:vAlign w:val="center"/>
          </w:tcPr>
          <w:p>
            <w:pPr>
              <w:spacing w:after="0"/>
            </w:pPr>
            <w:r/>
            <w:r>
              <w:rPr>
                <w:b w:val="0"/>
                <w:sz w:val="16"/>
              </w:rPr>
              <w:t>CTD2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9144</w:t>
            </w:r>
          </w:p>
        </w:tc>
        <w:tc>
          <w:tcPr>
            <w:tcW w:type="dxa" w:w="1632"/>
            <w:vAlign w:val="center"/>
          </w:tcPr>
          <w:p>
            <w:pPr>
              <w:spacing w:after="0"/>
            </w:pPr>
            <w:r/>
            <w:r>
              <w:rPr>
                <w:b w:val="0"/>
                <w:sz w:val="16"/>
              </w:rPr>
              <w:t>3906</w:t>
            </w:r>
          </w:p>
        </w:tc>
        <w:tc>
          <w:tcPr>
            <w:tcW w:type="dxa" w:w="1632"/>
            <w:vAlign w:val="center"/>
          </w:tcPr>
          <w:p>
            <w:pPr>
              <w:spacing w:after="0"/>
            </w:pPr>
            <w:r/>
            <w:r>
              <w:rPr>
                <w:b w:val="0"/>
                <w:sz w:val="16"/>
              </w:rPr>
              <w:t>0.2744</w:t>
            </w:r>
          </w:p>
        </w:tc>
        <w:tc>
          <w:tcPr>
            <w:tcW w:type="dxa" w:w="1632"/>
            <w:vAlign w:val="center"/>
          </w:tcPr>
          <w:p>
            <w:pPr>
              <w:spacing w:after="0"/>
            </w:pPr>
            <w:r/>
            <w:r>
              <w:rPr>
                <w:b w:val="0"/>
                <w:sz w:val="16"/>
              </w:rPr>
              <w:t>0.3238</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0.1961</w:t>
            </w:r>
          </w:p>
        </w:tc>
        <w:tc>
          <w:tcPr>
            <w:tcW w:type="dxa" w:w="1632"/>
            <w:vAlign w:val="center"/>
          </w:tcPr>
          <w:p>
            <w:pPr>
              <w:spacing w:after="0"/>
            </w:pPr>
            <w:r/>
            <w:r>
              <w:rPr>
                <w:b w:val="0"/>
                <w:sz w:val="16"/>
              </w:rPr>
              <w:t>0.2322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0.2015</w:t>
            </w:r>
          </w:p>
        </w:tc>
        <w:tc>
          <w:tcPr>
            <w:tcW w:type="dxa" w:w="1632"/>
            <w:vAlign w:val="center"/>
          </w:tcPr>
          <w:p>
            <w:pPr>
              <w:spacing w:after="0"/>
            </w:pPr>
            <w:r/>
            <w:r>
              <w:rPr>
                <w:b w:val="0"/>
                <w:sz w:val="16"/>
              </w:rPr>
              <w:t>0.2353</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0.1966</w:t>
            </w:r>
          </w:p>
        </w:tc>
        <w:tc>
          <w:tcPr>
            <w:tcW w:type="dxa" w:w="1632"/>
            <w:vAlign w:val="center"/>
          </w:tcPr>
          <w:p>
            <w:pPr>
              <w:spacing w:after="0"/>
            </w:pPr>
            <w:r/>
            <w:r>
              <w:rPr>
                <w:b w:val="0"/>
                <w:sz w:val="16"/>
              </w:rPr>
              <w:t>0.2342</w:t>
            </w:r>
          </w:p>
        </w:tc>
      </w:tr>
      <w:tr>
        <w:tc>
          <w:tcPr>
            <w:tcW w:type="dxa" w:w="1632"/>
            <w:vAlign w:val="center"/>
          </w:tcPr>
          <w:p>
            <w:pPr>
              <w:spacing w:after="0"/>
            </w:pPr>
            <w:r/>
            <w:r>
              <w:rPr>
                <w:b w:val="0"/>
                <w:sz w:val="16"/>
              </w:rPr>
              <w:t>GDSC1</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8592</w:t>
            </w:r>
          </w:p>
        </w:tc>
        <w:tc>
          <w:tcPr>
            <w:tcW w:type="dxa" w:w="1632"/>
            <w:vAlign w:val="center"/>
          </w:tcPr>
          <w:p>
            <w:pPr>
              <w:spacing w:after="0"/>
            </w:pPr>
            <w:r/>
            <w:r>
              <w:rPr>
                <w:b w:val="0"/>
                <w:sz w:val="16"/>
              </w:rPr>
              <w:t>4458</w:t>
            </w:r>
          </w:p>
        </w:tc>
        <w:tc>
          <w:tcPr>
            <w:tcW w:type="dxa" w:w="1632"/>
            <w:vAlign w:val="center"/>
          </w:tcPr>
          <w:p>
            <w:pPr>
              <w:spacing w:after="0"/>
            </w:pPr>
            <w:r/>
            <w:r>
              <w:rPr>
                <w:b w:val="0"/>
                <w:sz w:val="16"/>
              </w:rPr>
              <w:t>0.1963</w:t>
            </w:r>
          </w:p>
        </w:tc>
        <w:tc>
          <w:tcPr>
            <w:tcW w:type="dxa" w:w="1632"/>
            <w:vAlign w:val="center"/>
          </w:tcPr>
          <w:p>
            <w:pPr>
              <w:spacing w:after="0"/>
            </w:pPr>
            <w:r/>
            <w:r>
              <w:rPr>
                <w:b w:val="0"/>
                <w:sz w:val="16"/>
              </w:rPr>
              <w:t>0.2339</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expression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0.1973</w:t>
            </w:r>
          </w:p>
        </w:tc>
        <w:tc>
          <w:tcPr>
            <w:tcW w:type="dxa" w:w="1632"/>
            <w:vAlign w:val="center"/>
          </w:tcPr>
          <w:p>
            <w:pPr>
              <w:spacing w:after="0"/>
            </w:pPr>
            <w:r/>
            <w:r>
              <w:rPr>
                <w:b w:val="0"/>
                <w:sz w:val="16"/>
              </w:rPr>
              <w:t>0.2347</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copy_number</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0.1980</w:t>
            </w:r>
          </w:p>
        </w:tc>
        <w:tc>
          <w:tcPr>
            <w:tcW w:type="dxa" w:w="1632"/>
            <w:vAlign w:val="center"/>
          </w:tcPr>
          <w:p>
            <w:pPr>
              <w:spacing w:after="0"/>
            </w:pPr>
            <w:r/>
            <w:r>
              <w:rPr>
                <w:b w:val="0"/>
                <w:sz w:val="16"/>
              </w:rPr>
              <w:t>0.2326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mutation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0.2000</w:t>
            </w:r>
          </w:p>
        </w:tc>
        <w:tc>
          <w:tcPr>
            <w:tcW w:type="dxa" w:w="1632"/>
            <w:vAlign w:val="center"/>
          </w:tcPr>
          <w:p>
            <w:pPr>
              <w:spacing w:after="0"/>
            </w:pPr>
            <w:r/>
            <w:r>
              <w:rPr>
                <w:b w:val="0"/>
                <w:sz w:val="16"/>
              </w:rPr>
              <w:t>0.2406</w:t>
            </w:r>
          </w:p>
        </w:tc>
      </w:tr>
      <w:tr>
        <w:tc>
          <w:tcPr>
            <w:tcW w:type="dxa" w:w="1632"/>
            <w:vAlign w:val="center"/>
          </w:tcPr>
          <w:p>
            <w:pPr>
              <w:spacing w:after="0"/>
            </w:pPr>
            <w:r/>
            <w:r>
              <w:rPr>
                <w:b w:val="0"/>
                <w:sz w:val="16"/>
              </w:rPr>
              <w:t>GDSC2</w:t>
            </w:r>
          </w:p>
        </w:tc>
        <w:tc>
          <w:tcPr>
            <w:tcW w:type="dxa" w:w="1632"/>
            <w:vAlign w:val="center"/>
          </w:tcPr>
          <w:p>
            <w:pPr>
              <w:spacing w:after="0"/>
            </w:pPr>
            <w:r/>
            <w:r>
              <w:rPr>
                <w:b w:val="0"/>
                <w:sz w:val="16"/>
              </w:rPr>
              <w:t>fusion</w:t>
            </w:r>
          </w:p>
        </w:tc>
        <w:tc>
          <w:tcPr>
            <w:tcW w:type="dxa" w:w="1632"/>
            <w:vAlign w:val="center"/>
          </w:tcPr>
          <w:p>
            <w:pPr>
              <w:spacing w:after="0"/>
            </w:pPr>
            <w:r/>
            <w:r>
              <w:rPr>
                <w:b w:val="0"/>
                <w:sz w:val="16"/>
              </w:rPr>
              <w:t>8364</w:t>
            </w:r>
          </w:p>
        </w:tc>
        <w:tc>
          <w:tcPr>
            <w:tcW w:type="dxa" w:w="1632"/>
            <w:vAlign w:val="center"/>
          </w:tcPr>
          <w:p>
            <w:pPr>
              <w:spacing w:after="0"/>
            </w:pPr>
            <w:r/>
            <w:r>
              <w:rPr>
                <w:b w:val="0"/>
                <w:sz w:val="16"/>
              </w:rPr>
              <w:t>4686</w:t>
            </w:r>
          </w:p>
        </w:tc>
        <w:tc>
          <w:tcPr>
            <w:tcW w:type="dxa" w:w="1632"/>
            <w:vAlign w:val="center"/>
          </w:tcPr>
          <w:p>
            <w:pPr>
              <w:spacing w:after="0"/>
            </w:pPr>
            <w:r/>
            <w:r>
              <w:rPr>
                <w:b w:val="0"/>
                <w:sz w:val="16"/>
              </w:rPr>
              <w:t>0.1986</w:t>
            </w:r>
          </w:p>
        </w:tc>
        <w:tc>
          <w:tcPr>
            <w:tcW w:type="dxa" w:w="1632"/>
            <w:vAlign w:val="center"/>
          </w:tcPr>
          <w:p>
            <w:pPr>
              <w:spacing w:after="0"/>
            </w:pPr>
            <w:r/>
            <w:r>
              <w:rPr>
                <w:b w:val="0"/>
                <w:sz w:val="16"/>
              </w:rPr>
              <w:t>0.2387</w:t>
            </w:r>
          </w:p>
        </w:tc>
      </w:tr>
    </w:tbl>
    <w:p>
      <w:pPr>
        <w:spacing w:after="40"/>
      </w:pPr>
    </w:p>
    <w:p>
      <w:pPr>
        <w:jc w:val="center"/>
      </w:pPr>
      <w:r>
        <w:drawing>
          <wp:inline xmlns:a="http://schemas.openxmlformats.org/drawingml/2006/main" xmlns:pic="http://schemas.openxmlformats.org/drawingml/2006/picture">
            <wp:extent cx="5943600" cy="3566160"/>
            <wp:docPr id="1" name="Picture 1"/>
            <wp:cNvGraphicFramePr>
              <a:graphicFrameLocks noChangeAspect="1"/>
            </wp:cNvGraphicFramePr>
            <a:graphic>
              <a:graphicData uri="http://schemas.openxmlformats.org/drawingml/2006/picture">
                <pic:pic>
                  <pic:nvPicPr>
                    <pic:cNvPr id="0" name="lood_rmse.png"/>
                    <pic:cNvPicPr/>
                  </pic:nvPicPr>
                  <pic:blipFill>
                    <a:blip r:embed="rId9"/>
                    <a:stretch>
                      <a:fillRect/>
                    </a:stretch>
                  </pic:blipFill>
                  <pic:spPr>
                    <a:xfrm>
                      <a:off x="0" y="0"/>
                      <a:ext cx="5943600" cy="3566160"/>
                    </a:xfrm>
                    <a:prstGeom prst="rect"/>
                  </pic:spPr>
                </pic:pic>
              </a:graphicData>
            </a:graphic>
          </wp:inline>
        </w:drawing>
      </w:r>
    </w:p>
    <w:p>
      <w:pPr>
        <w:jc w:val="center"/>
      </w:pPr>
      <w:r>
        <w:t>Figure 1. Leave-one-dataset-out performance.</w:t>
      </w:r>
    </w:p>
    <w:p>
      <w:pPr>
        <w:jc w:val="center"/>
      </w:pPr>
      <w:r>
        <w:drawing>
          <wp:inline xmlns:a="http://schemas.openxmlformats.org/drawingml/2006/main" xmlns:pic="http://schemas.openxmlformats.org/drawingml/2006/picture">
            <wp:extent cx="5943600" cy="3434080"/>
            <wp:docPr id="2" name="Picture 2"/>
            <wp:cNvGraphicFramePr>
              <a:graphicFrameLocks noChangeAspect="1"/>
            </wp:cNvGraphicFramePr>
            <a:graphic>
              <a:graphicData uri="http://schemas.openxmlformats.org/drawingml/2006/picture">
                <pic:pic>
                  <pic:nvPicPr>
                    <pic:cNvPr id="0" name="modality_conflict.png"/>
                    <pic:cNvPicPr/>
                  </pic:nvPicPr>
                  <pic:blipFill>
                    <a:blip r:embed="rId10"/>
                    <a:stretch>
                      <a:fillRect/>
                    </a:stretch>
                  </pic:blipFill>
                  <pic:spPr>
                    <a:xfrm>
                      <a:off x="0" y="0"/>
                      <a:ext cx="5943600" cy="3434080"/>
                    </a:xfrm>
                    <a:prstGeom prst="rect"/>
                  </pic:spPr>
                </pic:pic>
              </a:graphicData>
            </a:graphic>
          </wp:inline>
        </w:drawing>
      </w:r>
    </w:p>
    <w:p>
      <w:pPr>
        <w:jc w:val="center"/>
      </w:pPr>
      <w:r>
        <w:t>Figure 2. Modality conflict and fusion-minus-expression error differences.</w:t>
      </w:r>
    </w:p>
    <w:p>
      <w:pPr>
        <w:jc w:val="center"/>
      </w:pPr>
      <w:r>
        <w:drawing>
          <wp:inline xmlns:a="http://schemas.openxmlformats.org/drawingml/2006/main" xmlns:pic="http://schemas.openxmlformats.org/drawingml/2006/picture">
            <wp:extent cx="5943600" cy="5760723"/>
            <wp:docPr id="3" name="Picture 3"/>
            <wp:cNvGraphicFramePr>
              <a:graphicFrameLocks noChangeAspect="1"/>
            </wp:cNvGraphicFramePr>
            <a:graphic>
              <a:graphicData uri="http://schemas.openxmlformats.org/drawingml/2006/picture">
                <pic:pic>
                  <pic:nvPicPr>
                    <pic:cNvPr id="0" name="figure_3a_cross_study_transfer.png"/>
                    <pic:cNvPicPr/>
                  </pic:nvPicPr>
                  <pic:blipFill>
                    <a:blip r:embed="rId11"/>
                    <a:stretch>
                      <a:fillRect/>
                    </a:stretch>
                  </pic:blipFill>
                  <pic:spPr>
                    <a:xfrm>
                      <a:off x="0" y="0"/>
                      <a:ext cx="5943600" cy="5760723"/>
                    </a:xfrm>
                    <a:prstGeom prst="rect"/>
                  </pic:spPr>
                </pic:pic>
              </a:graphicData>
            </a:graphic>
          </wp:inline>
        </w:drawing>
      </w:r>
    </w:p>
    <w:p>
      <w:pPr>
        <w:jc w:val="center"/>
      </w:pPr>
      <w:r>
        <w:t>Figure 3A. Cross-study transfer by modality.</w:t>
      </w:r>
    </w:p>
    <w:p>
      <w:pPr>
        <w:jc w:val="center"/>
      </w:pPr>
      <w:r>
        <w:drawing>
          <wp:inline xmlns:a="http://schemas.openxmlformats.org/drawingml/2006/main" xmlns:pic="http://schemas.openxmlformats.org/drawingml/2006/picture">
            <wp:extent cx="5943600" cy="5760723"/>
            <wp:docPr id="4" name="Picture 4"/>
            <wp:cNvGraphicFramePr>
              <a:graphicFrameLocks noChangeAspect="1"/>
            </wp:cNvGraphicFramePr>
            <a:graphic>
              <a:graphicData uri="http://schemas.openxmlformats.org/drawingml/2006/picture">
                <pic:pic>
                  <pic:nvPicPr>
                    <pic:cNvPr id="0" name="figure_3b_fusion_delta.png"/>
                    <pic:cNvPicPr/>
                  </pic:nvPicPr>
                  <pic:blipFill>
                    <a:blip r:embed="rId12"/>
                    <a:stretch>
                      <a:fillRect/>
                    </a:stretch>
                  </pic:blipFill>
                  <pic:spPr>
                    <a:xfrm>
                      <a:off x="0" y="0"/>
                      <a:ext cx="5943600" cy="5760723"/>
                    </a:xfrm>
                    <a:prstGeom prst="rect"/>
                  </pic:spPr>
                </pic:pic>
              </a:graphicData>
            </a:graphic>
          </wp:inline>
        </w:drawing>
      </w:r>
    </w:p>
    <w:p>
      <w:pPr>
        <w:jc w:val="center"/>
      </w:pPr>
      <w:r>
        <w:t>Figure 3B. Fusion-minus-expression RMSE by held-out split.</w:t>
      </w:r>
    </w:p>
    <w:p>
      <w:pPr>
        <w:jc w:val="center"/>
      </w:pPr>
      <w:r>
        <w:drawing>
          <wp:inline xmlns:a="http://schemas.openxmlformats.org/drawingml/2006/main" xmlns:pic="http://schemas.openxmlformats.org/drawingml/2006/picture">
            <wp:extent cx="5943600" cy="5760723"/>
            <wp:docPr id="5" name="Picture 5"/>
            <wp:cNvGraphicFramePr>
              <a:graphicFrameLocks noChangeAspect="1"/>
            </wp:cNvGraphicFramePr>
            <a:graphic>
              <a:graphicData uri="http://schemas.openxmlformats.org/drawingml/2006/picture">
                <pic:pic>
                  <pic:nvPicPr>
                    <pic:cNvPr id="0" name="figure_3c_modality_availability.png"/>
                    <pic:cNvPicPr/>
                  </pic:nvPicPr>
                  <pic:blipFill>
                    <a:blip r:embed="rId13"/>
                    <a:stretch>
                      <a:fillRect/>
                    </a:stretch>
                  </pic:blipFill>
                  <pic:spPr>
                    <a:xfrm>
                      <a:off x="0" y="0"/>
                      <a:ext cx="5943600" cy="5760723"/>
                    </a:xfrm>
                    <a:prstGeom prst="rect"/>
                  </pic:spPr>
                </pic:pic>
              </a:graphicData>
            </a:graphic>
          </wp:inline>
        </w:drawing>
      </w:r>
    </w:p>
    <w:p>
      <w:pPr>
        <w:jc w:val="center"/>
      </w:pPr>
      <w:r>
        <w:t>Figure 3C. Outer-join modality availability.</w:t>
      </w:r>
    </w:p>
    <w:p>
      <w:pPr>
        <w:pStyle w:val="Heading1"/>
        <w:keepNext/>
      </w:pPr>
      <w:r>
        <w:t>4. Discussion</w:t>
      </w:r>
    </w:p>
    <w:p>
      <w:pPr>
        <w:spacing w:after="120" w:line="259" w:lineRule="auto"/>
      </w:pPr>
      <w:r>
        <w:t>The results do not support a universal multimodal advantage. Fusion can help within a drug-held-out universe yet fail under study transfer, consistent with domain-specific response scales, assay coverage, and feature distributions. This pattern is compatible with prior reports that multimodal integration can improve prediction under particular data and validation settings [5,8], while benchmarking work shows variation across algorithms, drugs, and transfer targets [9,10]. Our controlled comparison adds a more modest observation: the incremental fusion effect is small within the declared drug-held-out benchmark and reverses direction under source-dataset transfer. This does not refute multimodal modeling; it shows why a gain observed in one validation regime should not be generalized to another without direct testing. The study is limited by the small declared 15-drug universe, limited same-drug overlap across datasets, and the use of compact Ridge baselines rather than a broad model class.</w:t>
      </w:r>
    </w:p>
    <w:p>
      <w:pPr>
        <w:spacing w:after="120" w:line="259" w:lineRule="auto"/>
      </w:pPr>
      <w:r>
        <w:t>H1 was only partially supported: fusion improved the mean across five drug-held-out seeds, but the sign was favorable in three seeds and unfavorable in two. H2 was supported in this evaluation: fusion degraded performance in all three leave-one-dataset-out folds. H3 was supported descriptively because modality availability and row-level correlations differed across source tables, but the study does not identify a causal explanation. These findings argue for reporting effect size and transfer failures alongside the direction of the fusion comparison.</w:t>
      </w:r>
    </w:p>
    <w:p>
      <w:pPr>
        <w:spacing w:after="120" w:line="259" w:lineRule="auto"/>
      </w:pPr>
      <w:r>
        <w:t>The methodological implication is that validation design is part of the scientific claim. A random cell-line–drug split can estimate interpolation within an existing response system, whereas a drug-held-out split asks whether molecular features support prediction for compounds not represented in training. A leave-one-dataset-out split adds a different stress test: it asks whether the learned relationship survives a change in source, assay, and coverage. These estimands should not be conflated. Our study uses them sequentially to show that the answer to ‘does fusion help?’ depends on which generalization target is intended.</w:t>
      </w:r>
    </w:p>
    <w:p>
      <w:pPr>
        <w:spacing w:after="120" w:line="259" w:lineRule="auto"/>
      </w:pPr>
      <w: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pPr>
      <w:r>
        <w:t>The small size of the observed within-universe effect is itself informative for model development. The mean difference is much smaller than the variation in absolute RMSE across seeds, and the direction changes in two of five comparisons.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pPr>
      <w: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pStyle w:val="Heading2"/>
        <w:keepNext/>
      </w:pPr>
      <w:r>
        <w:t>4.1. Interpretation of the within-dataset result</w:t>
      </w:r>
    </w:p>
    <w:p>
      <w:pPr>
        <w:spacing w:after="120" w:line="259" w:lineRule="auto"/>
      </w:pPr>
      <w:r>
        <w:t>The drug-held-out result is compatible with a limited benefit from complementary features when the training and test rows share a source-defined response system. Fusion improved the mean across five seeds, but only three of five seed-level comparisons favored fusion and the effect sizes were small relative to the absolute error. We therefore describe this result as uncertain, conditional evidence that fusion can be useful under a matched evaluation regime, not as evidence that fusion should replace a strong single-modality baseline.</w:t>
      </w:r>
    </w:p>
    <w:p>
      <w:pPr>
        <w:pStyle w:val="Heading2"/>
        <w:keepNext/>
      </w:pPr>
      <w:r>
        <w:t>4.2. Interpretation of cross-study degradation</w:t>
      </w:r>
    </w:p>
    <w:p>
      <w:pPr>
        <w:spacing w:after="120" w:line="259" w:lineRule="auto"/>
      </w:pPr>
      <w:r>
        <w:t>The consistent cross-study degradation is the most important cautionary result. It may reflect differences in assay design, response scaling, compound composition, cell-line coverage, molecular measurement, or feature distributions. The present benchmark does not separate these explanations. It does show that a model selected for within-universe performance can lose accuracy when the response source changes, which makes transfer validation necessary for claims about general-purpose multimodal prediction.</w:t>
      </w:r>
    </w:p>
    <w:p>
      <w:pPr>
        <w:pStyle w:val="Heading2"/>
        <w:keepNext/>
      </w:pPr>
      <w:r>
        <w:t>4.3. Missingness, redundancy, and model choice</w:t>
      </w:r>
    </w:p>
    <w:p>
      <w:pPr>
        <w:spacing w:after="120" w:line="259" w:lineRule="auto"/>
      </w:pPr>
      <w: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pStyle w:val="Heading2"/>
        <w:keepNext/>
      </w:pPr>
      <w:r>
        <w:t>4.4. Relation to prior multimodal work</w:t>
      </w:r>
    </w:p>
    <w:p>
      <w:pPr>
        <w:spacing w:after="120" w:line="259" w:lineRule="auto"/>
      </w:pPr>
      <w: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pStyle w:val="Heading2"/>
        <w:keepNext/>
      </w:pPr>
      <w:r>
        <w:t>4.5. Limitations and next experiments</w:t>
      </w:r>
    </w:p>
    <w:p>
      <w:pPr>
        <w:spacing w:after="120" w:line="259" w:lineRule="auto"/>
      </w:pPr>
      <w:r>
        <w:t>The principal limitations are the 15-compound evaluation universe, the limited overlap of identical drugs across datasets, the use of a fixed Ridge model, the descriptive per-drug audit with eight unique held-out compounds across repeated seed-specific cells, and the absence of prospective experimental validation. The modality set also excludes potentially informative assays such as proteomics, methylation, drug chemical structure, and lineage-aware representations. We report RMSE and MAE but do not provide a complete ranking-oriented evaluation using Pearson or Spearman correlation, and we do not test chemical-scaffold separation between training and held-out drugs. Source-specific AUC scales were retained rather than harmonized, so LOOD error magnitudes should not be read as directly comparable biological difficulty across datasets. No patient, organoid, PDX, or prospective external cohort was evaluated. Future work should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pPr>
      <w:r>
        <w:t>5. Conclusion</w:t>
      </w:r>
    </w:p>
    <w:p>
      <w:pPr>
        <w:spacing w:after="120" w:line="259" w:lineRule="auto"/>
      </w:pPr>
      <w:r>
        <w:t>In this small, declared DepMap benchmark, adding copy-number and mutation blocks to expression produced a small mean improvement in drug-held-out prediction, but the direction changed across repeated splits and the improvement did not transfer to any of the three held-out source datasets. The result is therefore conditional rather than universal. The practical contribution is a reproducible comparison framework that makes the held-out entity, fold-local feature selection, structured availability, and transfer target explicit. Larger common-drug universes, external test sets, missingness-aware models, and alternative learners are needed before deciding whether the observed pattern generalizes beyond this Ridge-based construction.</w:t>
      </w:r>
    </w:p>
    <w:p>
      <w:pPr>
        <w:pStyle w:val="Heading1"/>
        <w:keepNext/>
      </w:pPr>
      <w:r>
        <w:t>6. Data and code availability</w:t>
      </w:r>
    </w:p>
    <w:p>
      <w:pPr>
        <w:spacing w:after="120" w:line="259" w:lineRule="auto"/>
      </w:pPr>
      <w:r>
        <w:t>Code, manifests, derived result summaries, figures, and reproducibility notes are provided in the project repository. Raw DepMap files must be obtained from the provider under the applicable terms; see the public-data access note. The repository does not redistribute raw molecular matrices.</w:t>
      </w:r>
    </w:p>
    <w:p>
      <w:pPr>
        <w:pStyle w:val="Heading1"/>
        <w:keepNext/>
      </w:pPr>
      <w:r>
        <w:t>7. References</w:t>
      </w:r>
    </w:p>
    <w:p>
      <w:r>
        <w:t>[1] Barretina J, et al. The Cancer Cell Line Encyclopedia enables predictive modelling of anticancer drug sensitivity. Nature. 2012;483:603–607. doi:10.1038/nature11003.</w:t>
      </w:r>
    </w:p>
    <w:p>
      <w:r>
        <w:t>[2] Iorio F, et al. A landscape of pharmacogenomic interactions in cancer. Cell. 2016;166:740–754. doi:10.1016/j.cell.2016.06.017.</w:t>
      </w:r>
    </w:p>
    <w:p>
      <w:r>
        <w:t>[3] Tsherniak A, et al. Defining a cancer dependency map. Cell. 2017;170:564–576.e16. doi:10.1016/j.cell.2017.06.010.</w:t>
      </w:r>
    </w:p>
    <w:p>
      <w:r>
        <w:t>[4] Azuaje F. Computational models for predicting drug responses in cancer research. Brief Bioinform. 2017;18:820–829. doi:10.1093/bib/bbw065.</w:t>
      </w:r>
    </w:p>
    <w:p>
      <w:r>
        <w:t>[5] Sharifi-Noghabi H, et al. MOLI: multi-omics late integration with deep neural networks for drug response prediction. Bioinformatics. 2019;35:i501–i509. doi:10.1093/bioinformatics/btz318.</w:t>
      </w:r>
    </w:p>
    <w:p>
      <w:r>
        <w:t>[6] Cai Z, et al. Machine learning for multi-omics data integration in cancer. iScience. 2022;25:103798. doi:10.1016/j.isci.2022.103798.</w:t>
      </w:r>
    </w:p>
    <w:p>
      <w:r>
        <w:t>[7] DepMap. How should I cite DepMap data? DepMap Portal. Updated 2025.</w:t>
      </w:r>
    </w:p>
    <w:p>
      <w:r>
        <w:t>[8] Kuenzi BM, et al. Predicting drug response and synergy using a deep learning model of human cancer cells. Cancer Cell. 2020;38:672–684.e6. doi:10.1016/j.ccell.2020.09.014.</w:t>
      </w:r>
    </w:p>
    <w:p>
      <w:r>
        <w:t>[9] Chawla S, Rockstroh A, Lehman M, et al. Gene expression based inference of cancer drug sensitivity. Nat Commun. 2022;13:5680. doi:10.1038/s41467-022-33291-z.</w:t>
      </w:r>
    </w:p>
    <w:p>
      <w:r>
        <w:t>[10] Baptista D, Ferreira PG, Rocha M. Deep learning for drug response prediction in cancer. Brief Bioinform. 2023;24:bbac605. doi:10.1093/bib/bbac605.</w:t>
      </w:r>
    </w:p>
    <w:p>
      <w:r>
        <w:t>[11] Gouru G. Precision oncology: Computational methods for multi-omics data integration to improve drug response prediction. Cambridge Prisms Precis Med. 2025;3:e6. doi:10.1017/pcm.2025.10003.</w:t>
      </w:r>
    </w:p>
    <w:p>
      <w:r>
        <w:t>[12] Li D, et al. Multi-omics modality completion and knowledge distillation for drug response prediction in cervical cancer. Front Oncol. 2025;15:1622600. doi:10.3389/fonc.2025.1622600.</w:t>
      </w:r>
    </w:p>
    <w:p>
      <w:r>
        <w:t>[13] Del Real KS, et al. Foundation models and deep learning for cancer drug response prediction: a framework for data, metrics, and validation. Brief Bioinform. 2026;27:bbag225. doi:10.1093/bib/bbag225.</w:t>
      </w:r>
    </w:p>
    <w:p>
      <w:r>
        <w:br w:type="page"/>
      </w:r>
    </w:p>
    <w:p>
      <w:pPr>
        <w:pStyle w:val="Heading1"/>
        <w:keepNext/>
      </w:pPr>
      <w:r>
        <w:t>Appendix A. Reproducibility and reporting specification</w:t>
      </w:r>
    </w:p>
    <w:p>
      <w:pPr>
        <w:spacing w:after="120" w:line="259" w:lineRule="auto"/>
      </w:pPr>
      <w: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pPr>
      <w:r>
        <w:t>A.1. Analysis sequence</w:t>
      </w:r>
    </w:p>
    <w:p>
      <w:pPr>
        <w:spacing w:after="120" w:line="259" w:lineRule="auto"/>
      </w:pPr>
      <w: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r>
        <w:rPr>
          <w:b/>
        </w:rPr>
        <w:t xml:space="preserve">Table 5. </w:t>
      </w:r>
      <w:r>
        <w:t>Reproducibility controls and their purpose.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Control</w:t>
            </w:r>
          </w:p>
        </w:tc>
        <w:tc>
          <w:tcPr>
            <w:tcW w:type="dxa" w:w="3264"/>
            <w:vAlign w:val="center"/>
            <w:shd w:fill="D9EAF7"/>
          </w:tcPr>
          <w:p>
            <w:pPr>
              <w:spacing w:after="0"/>
            </w:pPr>
            <w:r/>
            <w:r>
              <w:rPr>
                <w:b/>
                <w:sz w:val="16"/>
              </w:rPr>
              <w:t>Implementation</w:t>
            </w:r>
          </w:p>
        </w:tc>
        <w:tc>
          <w:tcPr>
            <w:tcW w:type="dxa" w:w="3264"/>
            <w:vAlign w:val="center"/>
            <w:shd w:fill="D9EAF7"/>
          </w:tcPr>
          <w:p>
            <w:pPr>
              <w:spacing w:after="0"/>
            </w:pPr>
            <w:r/>
            <w:r>
              <w:rPr>
                <w:b/>
                <w:sz w:val="16"/>
              </w:rPr>
              <w:t>Reason</w:t>
            </w:r>
          </w:p>
        </w:tc>
      </w:tr>
      <w:tr>
        <w:tc>
          <w:tcPr>
            <w:tcW w:type="dxa" w:w="3264"/>
            <w:vAlign w:val="center"/>
          </w:tcPr>
          <w:p>
            <w:pPr>
              <w:spacing w:after="0"/>
            </w:pPr>
            <w:r/>
            <w:r>
              <w:rPr>
                <w:b w:val="0"/>
                <w:sz w:val="16"/>
              </w:rPr>
              <w:t>Drug grouping</w:t>
            </w:r>
          </w:p>
        </w:tc>
        <w:tc>
          <w:tcPr>
            <w:tcW w:type="dxa" w:w="3264"/>
            <w:vAlign w:val="center"/>
          </w:tcPr>
          <w:p>
            <w:pPr>
              <w:spacing w:after="0"/>
            </w:pPr>
            <w:r/>
            <w:r>
              <w:rPr>
                <w:b w:val="0"/>
                <w:sz w:val="16"/>
              </w:rPr>
              <w:t>GroupShuffleSplit by drug_id_raw</w:t>
            </w:r>
          </w:p>
        </w:tc>
        <w:tc>
          <w:tcPr>
            <w:tcW w:type="dxa" w:w="3264"/>
            <w:vAlign w:val="center"/>
          </w:tcPr>
          <w:p>
            <w:pPr>
              <w:spacing w:after="0"/>
            </w:pPr>
            <w:r/>
            <w:r>
              <w:rPr>
                <w:b w:val="0"/>
                <w:sz w:val="16"/>
              </w:rPr>
              <w:t>Prevents the same drug response group crossing train/test</w:t>
            </w:r>
          </w:p>
        </w:tc>
      </w:tr>
      <w:tr>
        <w:tc>
          <w:tcPr>
            <w:tcW w:type="dxa" w:w="3264"/>
            <w:vAlign w:val="center"/>
          </w:tcPr>
          <w:p>
            <w:pPr>
              <w:spacing w:after="0"/>
            </w:pPr>
            <w:r/>
            <w:r>
              <w:rPr>
                <w:b w:val="0"/>
                <w:sz w:val="16"/>
              </w:rPr>
              <w:t>Feature selection</w:t>
            </w:r>
          </w:p>
        </w:tc>
        <w:tc>
          <w:tcPr>
            <w:tcW w:type="dxa" w:w="3264"/>
            <w:vAlign w:val="center"/>
          </w:tcPr>
          <w:p>
            <w:pPr>
              <w:spacing w:after="0"/>
            </w:pPr>
            <w:r/>
            <w:r>
              <w:rPr>
                <w:b w:val="0"/>
                <w:sz w:val="16"/>
              </w:rPr>
              <w:t>Top 2,000 per modality inside training fold</w:t>
            </w:r>
          </w:p>
        </w:tc>
        <w:tc>
          <w:tcPr>
            <w:tcW w:type="dxa" w:w="3264"/>
            <w:vAlign w:val="center"/>
          </w:tcPr>
          <w:p>
            <w:pPr>
              <w:spacing w:after="0"/>
            </w:pPr>
            <w:r/>
            <w:r>
              <w:rPr>
                <w:b w:val="0"/>
                <w:sz w:val="16"/>
              </w:rPr>
              <w:t>Prevents test-informed feature ranking</w:t>
            </w:r>
          </w:p>
        </w:tc>
      </w:tr>
      <w:tr>
        <w:tc>
          <w:tcPr>
            <w:tcW w:type="dxa" w:w="3264"/>
            <w:vAlign w:val="center"/>
          </w:tcPr>
          <w:p>
            <w:pPr>
              <w:spacing w:after="0"/>
            </w:pPr>
            <w:r/>
            <w:r>
              <w:rPr>
                <w:b w:val="0"/>
                <w:sz w:val="16"/>
              </w:rPr>
              <w:t>Imputation</w:t>
            </w:r>
          </w:p>
        </w:tc>
        <w:tc>
          <w:tcPr>
            <w:tcW w:type="dxa" w:w="3264"/>
            <w:vAlign w:val="center"/>
          </w:tcPr>
          <w:p>
            <w:pPr>
              <w:spacing w:after="0"/>
            </w:pPr>
            <w:r/>
            <w:r>
              <w:rPr>
                <w:b w:val="0"/>
                <w:sz w:val="16"/>
              </w:rPr>
              <w:t>Training-fold median applied to test rows</w:t>
            </w:r>
          </w:p>
        </w:tc>
        <w:tc>
          <w:tcPr>
            <w:tcW w:type="dxa" w:w="3264"/>
            <w:vAlign w:val="center"/>
          </w:tcPr>
          <w:p>
            <w:pPr>
              <w:spacing w:after="0"/>
            </w:pPr>
            <w:r/>
            <w:r>
              <w:rPr>
                <w:b w:val="0"/>
                <w:sz w:val="16"/>
              </w:rPr>
              <w:t>Avoids test-derived preprocessing parameters</w:t>
            </w:r>
          </w:p>
        </w:tc>
      </w:tr>
      <w:tr>
        <w:tc>
          <w:tcPr>
            <w:tcW w:type="dxa" w:w="3264"/>
            <w:vAlign w:val="center"/>
          </w:tcPr>
          <w:p>
            <w:pPr>
              <w:spacing w:after="0"/>
            </w:pPr>
            <w:r/>
            <w:r>
              <w:rPr>
                <w:b w:val="0"/>
                <w:sz w:val="16"/>
              </w:rPr>
              <w:t>Scaling</w:t>
            </w:r>
          </w:p>
        </w:tc>
        <w:tc>
          <w:tcPr>
            <w:tcW w:type="dxa" w:w="3264"/>
            <w:vAlign w:val="center"/>
          </w:tcPr>
          <w:p>
            <w:pPr>
              <w:spacing w:after="0"/>
            </w:pPr>
            <w:r/>
            <w:r>
              <w:rPr>
                <w:b w:val="0"/>
                <w:sz w:val="16"/>
              </w:rPr>
              <w:t>Training-fold standardization</w:t>
            </w:r>
          </w:p>
        </w:tc>
        <w:tc>
          <w:tcPr>
            <w:tcW w:type="dxa" w:w="3264"/>
            <w:vAlign w:val="center"/>
          </w:tcPr>
          <w:p>
            <w:pPr>
              <w:spacing w:after="0"/>
            </w:pPr>
            <w:r/>
            <w:r>
              <w:rPr>
                <w:b w:val="0"/>
                <w:sz w:val="16"/>
              </w:rPr>
              <w:t>Places feature blocks on a common fitted scale</w:t>
            </w:r>
          </w:p>
        </w:tc>
      </w:tr>
      <w:tr>
        <w:tc>
          <w:tcPr>
            <w:tcW w:type="dxa" w:w="3264"/>
            <w:vAlign w:val="center"/>
          </w:tcPr>
          <w:p>
            <w:pPr>
              <w:spacing w:after="0"/>
            </w:pPr>
            <w:r/>
            <w:r>
              <w:rPr>
                <w:b w:val="0"/>
                <w:sz w:val="16"/>
              </w:rPr>
              <w:t>Learner</w:t>
            </w:r>
          </w:p>
        </w:tc>
        <w:tc>
          <w:tcPr>
            <w:tcW w:type="dxa" w:w="3264"/>
            <w:vAlign w:val="center"/>
          </w:tcPr>
          <w:p>
            <w:pPr>
              <w:spacing w:after="0"/>
            </w:pPr>
            <w:r/>
            <w:r>
              <w:rPr>
                <w:b w:val="0"/>
                <w:sz w:val="16"/>
              </w:rPr>
              <w:t>Ridge, alpha = 1.0 for every block</w:t>
            </w:r>
          </w:p>
        </w:tc>
        <w:tc>
          <w:tcPr>
            <w:tcW w:type="dxa" w:w="3264"/>
            <w:vAlign w:val="center"/>
          </w:tcPr>
          <w:p>
            <w:pPr>
              <w:spacing w:after="0"/>
            </w:pPr>
            <w:r/>
            <w:r>
              <w:rPr>
                <w:b w:val="0"/>
                <w:sz w:val="16"/>
              </w:rPr>
              <w:t>Keeps the model comparison controlled</w:t>
            </w:r>
          </w:p>
        </w:tc>
      </w:tr>
      <w:tr>
        <w:tc>
          <w:tcPr>
            <w:tcW w:type="dxa" w:w="3264"/>
            <w:vAlign w:val="center"/>
          </w:tcPr>
          <w:p>
            <w:pPr>
              <w:spacing w:after="0"/>
            </w:pPr>
            <w:r/>
            <w:r>
              <w:rPr>
                <w:b w:val="0"/>
                <w:sz w:val="16"/>
              </w:rPr>
              <w:t>Primary metrics</w:t>
            </w:r>
          </w:p>
        </w:tc>
        <w:tc>
          <w:tcPr>
            <w:tcW w:type="dxa" w:w="3264"/>
            <w:vAlign w:val="center"/>
          </w:tcPr>
          <w:p>
            <w:pPr>
              <w:spacing w:after="0"/>
            </w:pPr>
            <w:r/>
            <w:r>
              <w:rPr>
                <w:b w:val="0"/>
                <w:sz w:val="16"/>
              </w:rPr>
              <w:t>MAE and RMSE</w:t>
            </w:r>
          </w:p>
        </w:tc>
        <w:tc>
          <w:tcPr>
            <w:tcW w:type="dxa" w:w="3264"/>
            <w:vAlign w:val="center"/>
          </w:tcPr>
          <w:p>
            <w:pPr>
              <w:spacing w:after="0"/>
            </w:pPr>
            <w:r/>
            <w:r>
              <w:rPr>
                <w:b w:val="0"/>
                <w:sz w:val="16"/>
              </w:rPr>
              <w:t>Reports typical and squared-error sensitivity</w:t>
            </w:r>
          </w:p>
        </w:tc>
      </w:tr>
      <w:tr>
        <w:tc>
          <w:tcPr>
            <w:tcW w:type="dxa" w:w="3264"/>
            <w:vAlign w:val="center"/>
          </w:tcPr>
          <w:p>
            <w:pPr>
              <w:spacing w:after="0"/>
            </w:pPr>
            <w:r/>
            <w:r>
              <w:rPr>
                <w:b w:val="0"/>
                <w:sz w:val="16"/>
              </w:rPr>
              <w:t>Transfer test</w:t>
            </w:r>
          </w:p>
        </w:tc>
        <w:tc>
          <w:tcPr>
            <w:tcW w:type="dxa" w:w="3264"/>
            <w:vAlign w:val="center"/>
          </w:tcPr>
          <w:p>
            <w:pPr>
              <w:spacing w:after="0"/>
            </w:pPr>
            <w:r/>
            <w:r>
              <w:rPr>
                <w:b w:val="0"/>
                <w:sz w:val="16"/>
              </w:rPr>
              <w:t>Hold out one full source dataset</w:t>
            </w:r>
          </w:p>
        </w:tc>
        <w:tc>
          <w:tcPr>
            <w:tcW w:type="dxa" w:w="3264"/>
            <w:vAlign w:val="center"/>
          </w:tcPr>
          <w:p>
            <w:pPr>
              <w:spacing w:after="0"/>
            </w:pPr>
            <w:r/>
            <w:r>
              <w:rPr>
                <w:b w:val="0"/>
                <w:sz w:val="16"/>
              </w:rPr>
              <w:t>Measures domain transfer rather than same-drug replication</w:t>
            </w:r>
          </w:p>
        </w:tc>
      </w:tr>
    </w:tbl>
    <w:p>
      <w:pPr>
        <w:spacing w:after="40"/>
      </w:pPr>
    </w:p>
    <w:p>
      <w:pPr>
        <w:pStyle w:val="Heading2"/>
        <w:keepNext/>
      </w:pPr>
      <w:r>
        <w:t>A.2. Estimands and comparison rules</w:t>
      </w:r>
    </w:p>
    <w:p>
      <w:pPr>
        <w:spacing w:after="120" w:line="259" w:lineRule="auto"/>
      </w:pPr>
      <w: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pPr>
      <w:r>
        <w:t>A.3. Missingness and availability audit</w:t>
      </w:r>
    </w:p>
    <w:p>
      <w:pPr>
        <w:spacing w:after="120" w:line="259" w:lineRule="auto"/>
      </w:pPr>
      <w: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r>
        <w:rPr>
          <w:b/>
        </w:rPr>
        <w:t xml:space="preserve">Table 6. </w:t>
      </w:r>
      <w:r>
        <w:t>Interpretation guardrails for the reported evidence.</w:t>
      </w:r>
    </w:p>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pPr>
            <w:r/>
            <w:r>
              <w:rPr>
                <w:b/>
                <w:sz w:val="16"/>
              </w:rPr>
              <w:t>Observed result</w:t>
            </w:r>
          </w:p>
        </w:tc>
        <w:tc>
          <w:tcPr>
            <w:tcW w:type="dxa" w:w="3264"/>
            <w:vAlign w:val="center"/>
            <w:shd w:fill="D9EAF7"/>
          </w:tcPr>
          <w:p>
            <w:pPr>
              <w:spacing w:after="0"/>
            </w:pPr>
            <w:r/>
            <w:r>
              <w:rPr>
                <w:b/>
                <w:sz w:val="16"/>
              </w:rPr>
              <w:t>Permitted interpretation</w:t>
            </w:r>
          </w:p>
        </w:tc>
        <w:tc>
          <w:tcPr>
            <w:tcW w:type="dxa" w:w="3264"/>
            <w:vAlign w:val="center"/>
            <w:shd w:fill="D9EAF7"/>
          </w:tcPr>
          <w:p>
            <w:pPr>
              <w:spacing w:after="0"/>
            </w:pPr>
            <w:r/>
            <w:r>
              <w:rPr>
                <w:b/>
                <w:sz w:val="16"/>
              </w:rPr>
              <w:t>Not supported</w:t>
            </w:r>
          </w:p>
        </w:tc>
      </w:tr>
      <w:tr>
        <w:tc>
          <w:tcPr>
            <w:tcW w:type="dxa" w:w="3264"/>
            <w:vAlign w:val="center"/>
          </w:tcPr>
          <w:p>
            <w:pPr>
              <w:spacing w:after="0"/>
            </w:pPr>
            <w:r/>
            <w:r>
              <w:rPr>
                <w:b w:val="0"/>
                <w:sz w:val="16"/>
              </w:rPr>
              <w:t>Fusion improves in 3 of 5 drug-held-out seeds</w:t>
            </w:r>
          </w:p>
        </w:tc>
        <w:tc>
          <w:tcPr>
            <w:tcW w:type="dxa" w:w="3264"/>
            <w:vAlign w:val="center"/>
          </w:tcPr>
          <w:p>
            <w:pPr>
              <w:spacing w:after="0"/>
            </w:pPr>
            <w:r/>
            <w:r>
              <w:rPr>
                <w:b w:val="0"/>
                <w:sz w:val="16"/>
              </w:rPr>
              <w:t>Small conditional improvement under this benchmark</w:t>
            </w:r>
          </w:p>
        </w:tc>
        <w:tc>
          <w:tcPr>
            <w:tcW w:type="dxa" w:w="3264"/>
            <w:vAlign w:val="center"/>
          </w:tcPr>
          <w:p>
            <w:pPr>
              <w:spacing w:after="0"/>
            </w:pPr>
            <w:r/>
            <w:r>
              <w:rPr>
                <w:b w:val="0"/>
                <w:sz w:val="16"/>
              </w:rPr>
              <w:t>Universal multimodal superiority</w:t>
            </w:r>
          </w:p>
        </w:tc>
      </w:tr>
      <w:tr>
        <w:tc>
          <w:tcPr>
            <w:tcW w:type="dxa" w:w="3264"/>
            <w:vAlign w:val="center"/>
          </w:tcPr>
          <w:p>
            <w:pPr>
              <w:spacing w:after="0"/>
            </w:pPr>
            <w:r/>
            <w:r>
              <w:rPr>
                <w:b w:val="0"/>
                <w:sz w:val="16"/>
              </w:rPr>
              <w:t>Fusion worsens all 3 LOOD folds</w:t>
            </w:r>
          </w:p>
        </w:tc>
        <w:tc>
          <w:tcPr>
            <w:tcW w:type="dxa" w:w="3264"/>
            <w:vAlign w:val="center"/>
          </w:tcPr>
          <w:p>
            <w:pPr>
              <w:spacing w:after="0"/>
            </w:pPr>
            <w:r/>
            <w:r>
              <w:rPr>
                <w:b w:val="0"/>
                <w:sz w:val="16"/>
              </w:rPr>
              <w:t>Transfer failure in these source-held-out folds</w:t>
            </w:r>
          </w:p>
        </w:tc>
        <w:tc>
          <w:tcPr>
            <w:tcW w:type="dxa" w:w="3264"/>
            <w:vAlign w:val="center"/>
          </w:tcPr>
          <w:p>
            <w:pPr>
              <w:spacing w:after="0"/>
            </w:pPr>
            <w:r/>
            <w:r>
              <w:rPr>
                <w:b w:val="0"/>
                <w:sz w:val="16"/>
              </w:rPr>
              <w:t>Proof of a biological incompatibility</w:t>
            </w:r>
          </w:p>
        </w:tc>
      </w:tr>
      <w:tr>
        <w:tc>
          <w:tcPr>
            <w:tcW w:type="dxa" w:w="3264"/>
            <w:vAlign w:val="center"/>
          </w:tcPr>
          <w:p>
            <w:pPr>
              <w:spacing w:after="0"/>
            </w:pPr>
            <w:r/>
            <w:r>
              <w:rPr>
                <w:b w:val="0"/>
                <w:sz w:val="16"/>
              </w:rPr>
              <w:t>Availability differs by dataset</w:t>
            </w:r>
          </w:p>
        </w:tc>
        <w:tc>
          <w:tcPr>
            <w:tcW w:type="dxa" w:w="3264"/>
            <w:vAlign w:val="center"/>
          </w:tcPr>
          <w:p>
            <w:pPr>
              <w:spacing w:after="0"/>
            </w:pPr>
            <w:r/>
            <w:r>
              <w:rPr>
                <w:b w:val="0"/>
                <w:sz w:val="16"/>
              </w:rPr>
              <w:t>Data structure is source-dependent</w:t>
            </w:r>
          </w:p>
        </w:tc>
        <w:tc>
          <w:tcPr>
            <w:tcW w:type="dxa" w:w="3264"/>
            <w:vAlign w:val="center"/>
          </w:tcPr>
          <w:p>
            <w:pPr>
              <w:spacing w:after="0"/>
            </w:pPr>
            <w:r/>
            <w:r>
              <w:rPr>
                <w:b w:val="0"/>
                <w:sz w:val="16"/>
              </w:rPr>
              <w:t>Missingness caused the error difference</w:t>
            </w:r>
          </w:p>
        </w:tc>
      </w:tr>
      <w:tr>
        <w:tc>
          <w:tcPr>
            <w:tcW w:type="dxa" w:w="3264"/>
            <w:vAlign w:val="center"/>
          </w:tcPr>
          <w:p>
            <w:pPr>
              <w:spacing w:after="0"/>
            </w:pPr>
            <w:r/>
            <w:r>
              <w:rPr>
                <w:b w:val="0"/>
                <w:sz w:val="16"/>
              </w:rPr>
              <w:t>Modality correlations are weak-to-moderate</w:t>
            </w:r>
          </w:p>
        </w:tc>
        <w:tc>
          <w:tcPr>
            <w:tcW w:type="dxa" w:w="3264"/>
            <w:vAlign w:val="center"/>
          </w:tcPr>
          <w:p>
            <w:pPr>
              <w:spacing w:after="0"/>
            </w:pPr>
            <w:r/>
            <w:r>
              <w:rPr>
                <w:b w:val="0"/>
                <w:sz w:val="16"/>
              </w:rPr>
              <w:t>Some redundancy and complementarity coexist</w:t>
            </w:r>
          </w:p>
        </w:tc>
        <w:tc>
          <w:tcPr>
            <w:tcW w:type="dxa" w:w="3264"/>
            <w:vAlign w:val="center"/>
          </w:tcPr>
          <w:p>
            <w:pPr>
              <w:spacing w:after="0"/>
            </w:pPr>
            <w:r/>
            <w:r>
              <w:rPr>
                <w:b w:val="0"/>
                <w:sz w:val="16"/>
              </w:rPr>
              <w:t>A causal redundancy mechanism</w:t>
            </w:r>
          </w:p>
        </w:tc>
      </w:tr>
      <w:tr>
        <w:tc>
          <w:tcPr>
            <w:tcW w:type="dxa" w:w="3264"/>
            <w:vAlign w:val="center"/>
          </w:tcPr>
          <w:p>
            <w:pPr>
              <w:spacing w:after="0"/>
            </w:pPr>
            <w:r/>
            <w:r>
              <w:rPr>
                <w:b w:val="0"/>
                <w:sz w:val="16"/>
              </w:rPr>
              <w:t>Ridge is reproducible and controlled</w:t>
            </w:r>
          </w:p>
        </w:tc>
        <w:tc>
          <w:tcPr>
            <w:tcW w:type="dxa" w:w="3264"/>
            <w:vAlign w:val="center"/>
          </w:tcPr>
          <w:p>
            <w:pPr>
              <w:spacing w:after="0"/>
            </w:pPr>
            <w:r/>
            <w:r>
              <w:rPr>
                <w:b w:val="0"/>
                <w:sz w:val="16"/>
              </w:rPr>
              <w:t>A transparent reference baseline</w:t>
            </w:r>
          </w:p>
        </w:tc>
        <w:tc>
          <w:tcPr>
            <w:tcW w:type="dxa" w:w="3264"/>
            <w:vAlign w:val="center"/>
          </w:tcPr>
          <w:p>
            <w:pPr>
              <w:spacing w:after="0"/>
            </w:pPr>
            <w:r/>
            <w:r>
              <w:rPr>
                <w:b w:val="0"/>
                <w:sz w:val="16"/>
              </w:rPr>
              <w:t>The best possible learner</w:t>
            </w:r>
          </w:p>
        </w:tc>
      </w:tr>
      <w:tr>
        <w:tc>
          <w:tcPr>
            <w:tcW w:type="dxa" w:w="3264"/>
            <w:vAlign w:val="center"/>
          </w:tcPr>
          <w:p>
            <w:pPr>
              <w:spacing w:after="0"/>
            </w:pPr>
            <w:r/>
            <w:r>
              <w:rPr>
                <w:b w:val="0"/>
                <w:sz w:val="16"/>
              </w:rPr>
              <w:t>15 compounds are declared</w:t>
            </w:r>
          </w:p>
        </w:tc>
        <w:tc>
          <w:tcPr>
            <w:tcW w:type="dxa" w:w="3264"/>
            <w:vAlign w:val="center"/>
          </w:tcPr>
          <w:p>
            <w:pPr>
              <w:spacing w:after="0"/>
            </w:pPr>
            <w:r/>
            <w:r>
              <w:rPr>
                <w:b w:val="0"/>
                <w:sz w:val="16"/>
              </w:rPr>
              <w:t>Results are bounded to the declared universe</w:t>
            </w:r>
          </w:p>
        </w:tc>
        <w:tc>
          <w:tcPr>
            <w:tcW w:type="dxa" w:w="3264"/>
            <w:vAlign w:val="center"/>
          </w:tcPr>
          <w:p>
            <w:pPr>
              <w:spacing w:after="0"/>
            </w:pPr>
            <w:r/>
            <w:r>
              <w:rPr>
                <w:b w:val="0"/>
                <w:sz w:val="16"/>
              </w:rPr>
              <w:t>Generalization to all compounds</w:t>
            </w:r>
          </w:p>
        </w:tc>
      </w:tr>
    </w:tbl>
    <w:p>
      <w:pPr>
        <w:spacing w:after="40"/>
      </w:pPr>
    </w:p>
    <w:p>
      <w:pPr>
        <w:pStyle w:val="Heading2"/>
        <w:keepNext/>
      </w:pPr>
      <w:r>
        <w:t>A.4. Recommended extensions</w:t>
      </w:r>
    </w:p>
    <w:p>
      <w:pPr>
        <w:spacing w:after="120" w:line="259" w:lineRule="auto"/>
      </w:pPr>
      <w: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pPr>
      <w:r>
        <w:t>A.5. Minimum reporting checklist for future comparisons</w:t>
      </w:r>
    </w:p>
    <w:p>
      <w:pPr>
        <w:spacing w:after="120" w:line="259" w:lineRule="auto"/>
      </w:pPr>
      <w: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r>
        <w:rPr>
          <w:b/>
        </w:rPr>
        <w:t xml:space="preserve">Table 7. </w:t>
      </w:r>
      <w:r>
        <w:t>Minimum fields to preserve with each future result table.</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Field</w:t>
            </w:r>
          </w:p>
        </w:tc>
        <w:tc>
          <w:tcPr>
            <w:tcW w:type="dxa" w:w="4896"/>
            <w:vAlign w:val="center"/>
            <w:shd w:fill="D9EAF7"/>
          </w:tcPr>
          <w:p>
            <w:pPr>
              <w:spacing w:after="0"/>
            </w:pPr>
            <w:r/>
            <w:r>
              <w:rPr>
                <w:b/>
                <w:sz w:val="16"/>
              </w:rPr>
              <w:t>Required record</w:t>
            </w:r>
          </w:p>
        </w:tc>
      </w:tr>
      <w:tr>
        <w:tc>
          <w:tcPr>
            <w:tcW w:type="dxa" w:w="4896"/>
            <w:vAlign w:val="center"/>
          </w:tcPr>
          <w:p>
            <w:pPr>
              <w:spacing w:after="0"/>
            </w:pPr>
            <w:r/>
            <w:r>
              <w:rPr>
                <w:b w:val="0"/>
                <w:sz w:val="16"/>
              </w:rPr>
              <w:t>Data provenance</w:t>
            </w:r>
          </w:p>
        </w:tc>
        <w:tc>
          <w:tcPr>
            <w:tcW w:type="dxa" w:w="4896"/>
            <w:vAlign w:val="center"/>
          </w:tcPr>
          <w:p>
            <w:pPr>
              <w:spacing w:after="0"/>
            </w:pPr>
            <w:r/>
            <w:r>
              <w:rPr>
                <w:b w:val="0"/>
                <w:sz w:val="16"/>
              </w:rPr>
              <w:t>Provider, release label, download date, checksum</w:t>
            </w:r>
          </w:p>
        </w:tc>
      </w:tr>
      <w:tr>
        <w:tc>
          <w:tcPr>
            <w:tcW w:type="dxa" w:w="4896"/>
            <w:vAlign w:val="center"/>
          </w:tcPr>
          <w:p>
            <w:pPr>
              <w:spacing w:after="0"/>
            </w:pPr>
            <w:r/>
            <w:r>
              <w:rPr>
                <w:b w:val="0"/>
                <w:sz w:val="16"/>
              </w:rPr>
              <w:t>Population</w:t>
            </w:r>
          </w:p>
        </w:tc>
        <w:tc>
          <w:tcPr>
            <w:tcW w:type="dxa" w:w="4896"/>
            <w:vAlign w:val="center"/>
          </w:tcPr>
          <w:p>
            <w:pPr>
              <w:spacing w:after="0"/>
            </w:pPr>
            <w:r/>
            <w:r>
              <w:rPr>
                <w:b w:val="0"/>
                <w:sz w:val="16"/>
              </w:rPr>
              <w:t>Dataset, compound list, cell-line identifier, row count</w:t>
            </w:r>
          </w:p>
        </w:tc>
      </w:tr>
      <w:tr>
        <w:tc>
          <w:tcPr>
            <w:tcW w:type="dxa" w:w="4896"/>
            <w:vAlign w:val="center"/>
          </w:tcPr>
          <w:p>
            <w:pPr>
              <w:spacing w:after="0"/>
            </w:pPr>
            <w:r/>
            <w:r>
              <w:rPr>
                <w:b w:val="0"/>
                <w:sz w:val="16"/>
              </w:rPr>
              <w:t>Preprocessing</w:t>
            </w:r>
          </w:p>
        </w:tc>
        <w:tc>
          <w:tcPr>
            <w:tcW w:type="dxa" w:w="4896"/>
            <w:vAlign w:val="center"/>
          </w:tcPr>
          <w:p>
            <w:pPr>
              <w:spacing w:after="0"/>
            </w:pPr>
            <w:r/>
            <w:r>
              <w:rPr>
                <w:b w:val="0"/>
                <w:sz w:val="16"/>
              </w:rPr>
              <w:t>Imputation, scaling, filtering, feature-selection order</w:t>
            </w:r>
          </w:p>
        </w:tc>
      </w:tr>
      <w:tr>
        <w:tc>
          <w:tcPr>
            <w:tcW w:type="dxa" w:w="4896"/>
            <w:vAlign w:val="center"/>
          </w:tcPr>
          <w:p>
            <w:pPr>
              <w:spacing w:after="0"/>
            </w:pPr>
            <w:r/>
            <w:r>
              <w:rPr>
                <w:b w:val="0"/>
                <w:sz w:val="16"/>
              </w:rPr>
              <w:t>Validation</w:t>
            </w:r>
          </w:p>
        </w:tc>
        <w:tc>
          <w:tcPr>
            <w:tcW w:type="dxa" w:w="4896"/>
            <w:vAlign w:val="center"/>
          </w:tcPr>
          <w:p>
            <w:pPr>
              <w:spacing w:after="0"/>
            </w:pPr>
            <w:r/>
            <w:r>
              <w:rPr>
                <w:b w:val="0"/>
                <w:sz w:val="16"/>
              </w:rPr>
              <w:t>Split type, grouping unit, seed, train/test counts</w:t>
            </w:r>
          </w:p>
        </w:tc>
      </w:tr>
      <w:tr>
        <w:tc>
          <w:tcPr>
            <w:tcW w:type="dxa" w:w="4896"/>
            <w:vAlign w:val="center"/>
          </w:tcPr>
          <w:p>
            <w:pPr>
              <w:spacing w:after="0"/>
            </w:pPr>
            <w:r/>
            <w:r>
              <w:rPr>
                <w:b w:val="0"/>
                <w:sz w:val="16"/>
              </w:rPr>
              <w:t>Model</w:t>
            </w:r>
          </w:p>
        </w:tc>
        <w:tc>
          <w:tcPr>
            <w:tcW w:type="dxa" w:w="4896"/>
            <w:vAlign w:val="center"/>
          </w:tcPr>
          <w:p>
            <w:pPr>
              <w:spacing w:after="0"/>
            </w:pPr>
            <w:r/>
            <w:r>
              <w:rPr>
                <w:b w:val="0"/>
                <w:sz w:val="16"/>
              </w:rPr>
              <w:t>Modality, learner, hyperparameters, feature count</w:t>
            </w:r>
          </w:p>
        </w:tc>
      </w:tr>
      <w:tr>
        <w:tc>
          <w:tcPr>
            <w:tcW w:type="dxa" w:w="4896"/>
            <w:vAlign w:val="center"/>
          </w:tcPr>
          <w:p>
            <w:pPr>
              <w:spacing w:after="0"/>
            </w:pPr>
            <w:r/>
            <w:r>
              <w:rPr>
                <w:b w:val="0"/>
                <w:sz w:val="16"/>
              </w:rPr>
              <w:t>Performance</w:t>
            </w:r>
          </w:p>
        </w:tc>
        <w:tc>
          <w:tcPr>
            <w:tcW w:type="dxa" w:w="4896"/>
            <w:vAlign w:val="center"/>
          </w:tcPr>
          <w:p>
            <w:pPr>
              <w:spacing w:after="0"/>
            </w:pPr>
            <w:r/>
            <w:r>
              <w:rPr>
                <w:b w:val="0"/>
                <w:sz w:val="16"/>
              </w:rPr>
              <w:t>MAE, RMSE, delta to expression baseline</w:t>
            </w:r>
          </w:p>
        </w:tc>
      </w:tr>
      <w:tr>
        <w:tc>
          <w:tcPr>
            <w:tcW w:type="dxa" w:w="4896"/>
            <w:vAlign w:val="center"/>
          </w:tcPr>
          <w:p>
            <w:pPr>
              <w:spacing w:after="0"/>
            </w:pPr>
            <w:r/>
            <w:r>
              <w:rPr>
                <w:b w:val="0"/>
                <w:sz w:val="16"/>
              </w:rPr>
              <w:t>Availability</w:t>
            </w:r>
          </w:p>
        </w:tc>
        <w:tc>
          <w:tcPr>
            <w:tcW w:type="dxa" w:w="4896"/>
            <w:vAlign w:val="center"/>
          </w:tcPr>
          <w:p>
            <w:pPr>
              <w:spacing w:after="0"/>
            </w:pPr>
            <w:r/>
            <w:r>
              <w:rPr>
                <w:b w:val="0"/>
                <w:sz w:val="16"/>
              </w:rPr>
              <w:t>Complete rows, modality-specific availability, missing rows</w:t>
            </w:r>
          </w:p>
        </w:tc>
      </w:tr>
      <w:tr>
        <w:tc>
          <w:tcPr>
            <w:tcW w:type="dxa" w:w="4896"/>
            <w:vAlign w:val="center"/>
          </w:tcPr>
          <w:p>
            <w:pPr>
              <w:spacing w:after="0"/>
            </w:pPr>
            <w:r/>
            <w:r>
              <w:rPr>
                <w:b w:val="0"/>
                <w:sz w:val="16"/>
              </w:rPr>
              <w:t>Interpretation</w:t>
            </w:r>
          </w:p>
        </w:tc>
        <w:tc>
          <w:tcPr>
            <w:tcW w:type="dxa" w:w="4896"/>
            <w:vAlign w:val="center"/>
          </w:tcPr>
          <w:p>
            <w:pPr>
              <w:spacing w:after="0"/>
            </w:pPr>
            <w:r/>
            <w:r>
              <w:rPr>
                <w:b w:val="0"/>
                <w:sz w:val="16"/>
              </w:rPr>
              <w:t>Transfer target, limitations, and whether claims are causal</w:t>
            </w:r>
          </w:p>
        </w:tc>
      </w:tr>
    </w:tbl>
    <w:p>
      <w:pPr>
        <w:spacing w:after="40"/>
      </w:pPr>
    </w:p>
    <w:p>
      <w:r>
        <w:br w:type="page"/>
      </w:r>
    </w:p>
    <w:p>
      <w:pPr>
        <w:pStyle w:val="Heading1"/>
        <w:keepNext/>
      </w:pPr>
      <w:r>
        <w:t>Supplementary material</w:t>
      </w:r>
    </w:p>
    <w:p>
      <w:pPr>
        <w:spacing w:after="120" w:line="259" w:lineRule="auto"/>
      </w:pPr>
      <w: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r>
        <w:rPr>
          <w:b/>
        </w:rPr>
        <w:t xml:space="preserve">Supplementary Table S2. </w:t>
      </w:r>
      <w:r>
        <w:t>Drug-held-out missingness strata.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pPr>
            <w:r/>
            <w:r>
              <w:rPr>
                <w:b/>
                <w:sz w:val="16"/>
              </w:rPr>
              <w:t>Seed</w:t>
            </w:r>
          </w:p>
        </w:tc>
        <w:tc>
          <w:tcPr>
            <w:tcW w:type="dxa" w:w="2448"/>
            <w:vAlign w:val="center"/>
            <w:shd w:fill="D9EAF7"/>
          </w:tcPr>
          <w:p>
            <w:pPr>
              <w:spacing w:after="0"/>
            </w:pPr>
            <w:r/>
            <w:r>
              <w:rPr>
                <w:b/>
                <w:sz w:val="16"/>
              </w:rPr>
              <w:t>Complete rows</w:t>
            </w:r>
          </w:p>
        </w:tc>
        <w:tc>
          <w:tcPr>
            <w:tcW w:type="dxa" w:w="2448"/>
            <w:vAlign w:val="center"/>
            <w:shd w:fill="D9EAF7"/>
          </w:tcPr>
          <w:p>
            <w:pPr>
              <w:spacing w:after="0"/>
            </w:pPr>
            <w:r/>
            <w:r>
              <w:rPr>
                <w:b/>
                <w:sz w:val="16"/>
              </w:rPr>
              <w:t>Missing rows</w:t>
            </w:r>
          </w:p>
        </w:tc>
        <w:tc>
          <w:tcPr>
            <w:tcW w:type="dxa" w:w="2448"/>
            <w:vAlign w:val="center"/>
            <w:shd w:fill="D9EAF7"/>
          </w:tcPr>
          <w:p>
            <w:pPr>
              <w:spacing w:after="0"/>
            </w:pPr>
            <w:r/>
            <w:r>
              <w:rPr>
                <w:b/>
                <w:sz w:val="16"/>
              </w:rPr>
              <w:t>Total rows</w:t>
            </w:r>
          </w:p>
        </w:tc>
      </w:tr>
      <w:tr>
        <w:tc>
          <w:tcPr>
            <w:tcW w:type="dxa" w:w="2448"/>
            <w:vAlign w:val="center"/>
          </w:tcPr>
          <w:p>
            <w:pPr>
              <w:spacing w:after="0"/>
            </w:pPr>
            <w:r/>
            <w:r>
              <w:rPr>
                <w:b w:val="0"/>
                <w:sz w:val="16"/>
              </w:rPr>
              <w:t>20260821</w:t>
            </w:r>
          </w:p>
        </w:tc>
        <w:tc>
          <w:tcPr>
            <w:tcW w:type="dxa" w:w="2448"/>
            <w:vAlign w:val="center"/>
          </w:tcPr>
          <w:p>
            <w:pPr>
              <w:spacing w:after="0"/>
            </w:pPr>
            <w:r/>
            <w:r>
              <w:rPr>
                <w:b w:val="0"/>
                <w:sz w:val="16"/>
              </w:rPr>
              <w:t>1513</w:t>
            </w:r>
          </w:p>
        </w:tc>
        <w:tc>
          <w:tcPr>
            <w:tcW w:type="dxa" w:w="2448"/>
            <w:vAlign w:val="center"/>
          </w:tcPr>
          <w:p>
            <w:pPr>
              <w:spacing w:after="0"/>
            </w:pPr>
            <w:r/>
            <w:r>
              <w:rPr>
                <w:b w:val="0"/>
                <w:sz w:val="16"/>
              </w:rPr>
              <w:t>1046</w:t>
            </w:r>
          </w:p>
        </w:tc>
        <w:tc>
          <w:tcPr>
            <w:tcW w:type="dxa" w:w="2448"/>
            <w:vAlign w:val="center"/>
          </w:tcPr>
          <w:p>
            <w:pPr>
              <w:spacing w:after="0"/>
            </w:pPr>
            <w:r/>
            <w:r>
              <w:rPr>
                <w:b w:val="0"/>
                <w:sz w:val="16"/>
              </w:rPr>
              <w:t>2559</w:t>
            </w:r>
          </w:p>
        </w:tc>
      </w:tr>
      <w:tr>
        <w:tc>
          <w:tcPr>
            <w:tcW w:type="dxa" w:w="2448"/>
            <w:vAlign w:val="center"/>
          </w:tcPr>
          <w:p>
            <w:pPr>
              <w:spacing w:after="0"/>
            </w:pPr>
            <w:r/>
            <w:r>
              <w:rPr>
                <w:b w:val="0"/>
                <w:sz w:val="16"/>
              </w:rPr>
              <w:t>20260822</w:t>
            </w:r>
          </w:p>
        </w:tc>
        <w:tc>
          <w:tcPr>
            <w:tcW w:type="dxa" w:w="2448"/>
            <w:vAlign w:val="center"/>
          </w:tcPr>
          <w:p>
            <w:pPr>
              <w:spacing w:after="0"/>
            </w:pPr>
            <w:r/>
            <w:r>
              <w:rPr>
                <w:b w:val="0"/>
                <w:sz w:val="16"/>
              </w:rPr>
              <w:t>1458</w:t>
            </w:r>
          </w:p>
        </w:tc>
        <w:tc>
          <w:tcPr>
            <w:tcW w:type="dxa" w:w="2448"/>
            <w:vAlign w:val="center"/>
          </w:tcPr>
          <w:p>
            <w:pPr>
              <w:spacing w:after="0"/>
            </w:pPr>
            <w:r/>
            <w:r>
              <w:rPr>
                <w:b w:val="0"/>
                <w:sz w:val="16"/>
              </w:rPr>
              <w:t>1271</w:t>
            </w:r>
          </w:p>
        </w:tc>
        <w:tc>
          <w:tcPr>
            <w:tcW w:type="dxa" w:w="2448"/>
            <w:vAlign w:val="center"/>
          </w:tcPr>
          <w:p>
            <w:pPr>
              <w:spacing w:after="0"/>
            </w:pPr>
            <w:r/>
            <w:r>
              <w:rPr>
                <w:b w:val="0"/>
                <w:sz w:val="16"/>
              </w:rPr>
              <w:t>2729</w:t>
            </w:r>
          </w:p>
        </w:tc>
      </w:tr>
      <w:tr>
        <w:tc>
          <w:tcPr>
            <w:tcW w:type="dxa" w:w="2448"/>
            <w:vAlign w:val="center"/>
          </w:tcPr>
          <w:p>
            <w:pPr>
              <w:spacing w:after="0"/>
            </w:pPr>
            <w:r/>
            <w:r>
              <w:rPr>
                <w:b w:val="0"/>
                <w:sz w:val="16"/>
              </w:rPr>
              <w:t>20260823</w:t>
            </w:r>
          </w:p>
        </w:tc>
        <w:tc>
          <w:tcPr>
            <w:tcW w:type="dxa" w:w="2448"/>
            <w:vAlign w:val="center"/>
          </w:tcPr>
          <w:p>
            <w:pPr>
              <w:spacing w:after="0"/>
            </w:pPr>
            <w:r/>
            <w:r>
              <w:rPr>
                <w:b w:val="0"/>
                <w:sz w:val="16"/>
              </w:rPr>
              <w:t>1530</w:t>
            </w:r>
          </w:p>
        </w:tc>
        <w:tc>
          <w:tcPr>
            <w:tcW w:type="dxa" w:w="2448"/>
            <w:vAlign w:val="center"/>
          </w:tcPr>
          <w:p>
            <w:pPr>
              <w:spacing w:after="0"/>
            </w:pPr>
            <w:r/>
            <w:r>
              <w:rPr>
                <w:b w:val="0"/>
                <w:sz w:val="16"/>
              </w:rPr>
              <w:t>1078</w:t>
            </w:r>
          </w:p>
        </w:tc>
        <w:tc>
          <w:tcPr>
            <w:tcW w:type="dxa" w:w="2448"/>
            <w:vAlign w:val="center"/>
          </w:tcPr>
          <w:p>
            <w:pPr>
              <w:spacing w:after="0"/>
            </w:pPr>
            <w:r/>
            <w:r>
              <w:rPr>
                <w:b w:val="0"/>
                <w:sz w:val="16"/>
              </w:rPr>
              <w:t>2608</w:t>
            </w:r>
          </w:p>
        </w:tc>
      </w:tr>
    </w:tbl>
    <w:p>
      <w:pPr>
        <w:spacing w:after="40"/>
      </w:pPr>
    </w:p>
    <w:p>
      <w:r>
        <w:rPr>
          <w:b/>
        </w:rPr>
        <w:t xml:space="preserve">Supplementary Table S3. </w:t>
      </w:r>
      <w:r>
        <w:t>Release scope and limitations.</w:t>
      </w:r>
    </w:p>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pPr>
            <w:r/>
            <w:r>
              <w:rPr>
                <w:b/>
                <w:sz w:val="16"/>
              </w:rPr>
              <w:t>Item</w:t>
            </w:r>
          </w:p>
        </w:tc>
        <w:tc>
          <w:tcPr>
            <w:tcW w:type="dxa" w:w="4896"/>
            <w:vAlign w:val="center"/>
            <w:shd w:fill="D9EAF7"/>
          </w:tcPr>
          <w:p>
            <w:pPr>
              <w:spacing w:after="0"/>
            </w:pPr>
            <w:r/>
            <w:r>
              <w:rPr>
                <w:b/>
                <w:sz w:val="16"/>
              </w:rPr>
              <w:t>Status</w:t>
            </w:r>
          </w:p>
        </w:tc>
      </w:tr>
      <w:tr>
        <w:tc>
          <w:tcPr>
            <w:tcW w:type="dxa" w:w="4896"/>
            <w:vAlign w:val="center"/>
          </w:tcPr>
          <w:p>
            <w:pPr>
              <w:spacing w:after="0"/>
            </w:pPr>
            <w:r/>
            <w:r>
              <w:rPr>
                <w:b w:val="0"/>
                <w:sz w:val="16"/>
              </w:rPr>
              <w:t>Evaluation universe</w:t>
            </w:r>
          </w:p>
        </w:tc>
        <w:tc>
          <w:tcPr>
            <w:tcW w:type="dxa" w:w="4896"/>
            <w:vAlign w:val="center"/>
          </w:tcPr>
          <w:p>
            <w:pPr>
              <w:spacing w:after="0"/>
            </w:pPr>
            <w:r/>
            <w:r>
              <w:rPr>
                <w:b w:val="0"/>
                <w:sz w:val="16"/>
              </w:rPr>
              <w:t>15 declared compounds across GDSC1, GDSC2, CTD²</w:t>
            </w:r>
          </w:p>
        </w:tc>
      </w:tr>
      <w:tr>
        <w:tc>
          <w:tcPr>
            <w:tcW w:type="dxa" w:w="4896"/>
            <w:vAlign w:val="center"/>
          </w:tcPr>
          <w:p>
            <w:pPr>
              <w:spacing w:after="0"/>
            </w:pPr>
            <w:r/>
            <w:r>
              <w:rPr>
                <w:b w:val="0"/>
                <w:sz w:val="16"/>
              </w:rPr>
              <w:t>Drug-held-out validation</w:t>
            </w:r>
          </w:p>
        </w:tc>
        <w:tc>
          <w:tcPr>
            <w:tcW w:type="dxa" w:w="4896"/>
            <w:vAlign w:val="center"/>
          </w:tcPr>
          <w:p>
            <w:pPr>
              <w:spacing w:after="0"/>
            </w:pPr>
            <w:r/>
            <w:r>
              <w:rPr>
                <w:b w:val="0"/>
                <w:sz w:val="16"/>
              </w:rPr>
              <w:t>5 persisted seeds; fold-local top-2,000 features from full raw modality universes</w:t>
            </w:r>
          </w:p>
        </w:tc>
      </w:tr>
      <w:tr>
        <w:tc>
          <w:tcPr>
            <w:tcW w:type="dxa" w:w="4896"/>
            <w:vAlign w:val="center"/>
          </w:tcPr>
          <w:p>
            <w:pPr>
              <w:spacing w:after="0"/>
            </w:pPr>
            <w:r/>
            <w:r>
              <w:rPr>
                <w:b w:val="0"/>
                <w:sz w:val="16"/>
              </w:rPr>
              <w:t>Cross-study validation</w:t>
            </w:r>
          </w:p>
        </w:tc>
        <w:tc>
          <w:tcPr>
            <w:tcW w:type="dxa" w:w="4896"/>
            <w:vAlign w:val="center"/>
          </w:tcPr>
          <w:p>
            <w:pPr>
              <w:spacing w:after="0"/>
            </w:pPr>
            <w:r/>
            <w:r>
              <w:rPr>
                <w:b w:val="0"/>
                <w:sz w:val="16"/>
              </w:rPr>
              <w:t>LOOD folds for CTD², GDSC1, and GDSC2</w:t>
            </w:r>
          </w:p>
        </w:tc>
      </w:tr>
      <w:tr>
        <w:tc>
          <w:tcPr>
            <w:tcW w:type="dxa" w:w="4896"/>
            <w:vAlign w:val="center"/>
          </w:tcPr>
          <w:p>
            <w:pPr>
              <w:spacing w:after="0"/>
            </w:pPr>
            <w:r/>
            <w:r>
              <w:rPr>
                <w:b w:val="0"/>
                <w:sz w:val="16"/>
              </w:rPr>
              <w:t>MoA mapping</w:t>
            </w:r>
          </w:p>
        </w:tc>
        <w:tc>
          <w:tcPr>
            <w:tcW w:type="dxa" w:w="4896"/>
            <w:vAlign w:val="center"/>
          </w:tcPr>
          <w:p>
            <w:pPr>
              <w:spacing w:after="0"/>
            </w:pPr>
            <w:r/>
            <w:r>
              <w:rPr>
                <w:b w:val="0"/>
                <w:sz w:val="16"/>
              </w:rPr>
              <w:t>15/15 declared compounds; 5/316 full GDSC1 universe</w:t>
            </w:r>
          </w:p>
        </w:tc>
      </w:tr>
      <w:tr>
        <w:tc>
          <w:tcPr>
            <w:tcW w:type="dxa" w:w="4896"/>
            <w:vAlign w:val="center"/>
          </w:tcPr>
          <w:p>
            <w:pPr>
              <w:spacing w:after="0"/>
            </w:pPr>
            <w:r/>
            <w:r>
              <w:rPr>
                <w:b w:val="0"/>
                <w:sz w:val="16"/>
              </w:rPr>
              <w:t>Raw data</w:t>
            </w:r>
          </w:p>
        </w:tc>
        <w:tc>
          <w:tcPr>
            <w:tcW w:type="dxa" w:w="4896"/>
            <w:vAlign w:val="center"/>
          </w:tcPr>
          <w:p>
            <w:pPr>
              <w:spacing w:after="0"/>
            </w:pPr>
            <w:r/>
            <w:r>
              <w:rPr>
                <w:b w:val="0"/>
                <w:sz w:val="16"/>
              </w:rPr>
              <w:t>Provider files not redistributed; checksums recorded</w:t>
            </w:r>
          </w:p>
        </w:tc>
      </w:tr>
    </w:tbl>
    <w:p>
      <w:pPr>
        <w:spacing w:after="40"/>
      </w:pP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