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AI for Pharmaceutical Industry</w:t>
        <w:br/>
        <w:t>Friedrich-Wilhelm 28, 12103 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declared evaluation universe contained 15 compounds from GDSC1, GDSC2, and CTD². Models used fold-local feature selection and Ridge regression, with drug-held-out and leave-one-dataset-out validation. In full-universe drug-held-out validation across five repeated splits, fusion had mean RMSE 0.2322 versus 0.2328 for expression alone (mean fusion-minus-expression RMSE −0.0006; seed-level SD 0.0013). Fusion improved in three of five splits and was slightly worse in two. In cross-study validation, fusion was slightly worse in all three held-out datasets: CTD² 0.3238 versus 0.3231, GDSC1 0.2339 versus 0.2322, and GDSC2 0.2387 versus 0.2347. Structured missingness and weak-to-moderate row-level modality correlations accompanied dataset-sensitive performance.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For pharmaceutical research, the relevant endpoint is not only predictive accuracy but whether a model can support transparent prioritization of compounds, biomarkers, and follow-up experiments. A model that performs reliably across a declared validation target may help rank candidate molecular contexts for early discovery studies; however, cell-line prediction alone does not establish clinical utility, prospective benefit, or suitability for dosing decisions. These boundaries motivate an evaluation that reports transfer failures and data-availability constraints alongside average error metrics.</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We designed the analysis around that narrower estimand.</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can answer an easier question than prediction for an unseen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Cross-study transfer is also less frequently treated as a primary test than within-dataset cross-validation, despite differences in response scales, cell-line coverage, and molecular measurement between screening resources. We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pPr>
      <w: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pPr>
      <w:r>
        <w:t>2.7. Analysis sequence and implementation controls</w:t>
      </w:r>
    </w:p>
    <w:p>
      <w:pPr>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pPr>
      <w:r>
        <w:t>3. Results</w:t>
      </w:r>
    </w:p>
    <w:p>
      <w:pPr>
        <w:pStyle w:val="Heading2"/>
        <w:keepNext/>
      </w:pPr>
      <w:r>
        <w:t>3.1.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A per-drug audit covered eight unique held-out compounds across 15 drug-seed cells; fusion improved RMSE in 11 cells and worsened it in four. Because compounds recur across seeds and only three drugs are held out per split, this audit is descriptive rather than an independent estimate of generalization.</w:t>
      </w:r>
    </w:p>
    <w:p>
      <w:pPr>
        <w:pStyle w:val="Heading2"/>
        <w:keepNext/>
      </w:pPr>
      <w:r>
        <w:t>3.2. Cross-study transfer</w:t>
      </w:r>
    </w:p>
    <w:p>
      <w:pPr>
        <w:spacing w:after="120" w:line="259" w:lineRule="auto"/>
      </w:pPr>
      <w:r>
        <w:t>In leave-one-dataset-out validation, expression was consistently stronger than fusion, with the largest fusion degradation on CTD². These folds test transfer across source datasets, not replication of the same drug. The signed fusion-minus-expression RMSE deltas are shown in Figure 2 and Supplementary Table S4.</w:t>
      </w:r>
    </w:p>
    <w:p>
      <w:pPr>
        <w:spacing w:after="120" w:line="259" w:lineRule="auto"/>
      </w:pPr>
      <w:r>
        <w:t>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This makes the result a stress test for portability, while also limiting the specificity of any explanation for the observed degradation.</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pPr>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r>
        <w:tc>
          <w:tcPr>
            <w:tcW w:type="dxa" w:w="2448"/>
            <w:vAlign w:val="center"/>
          </w:tcPr>
          <w:p>
            <w:pPr>
              <w:spacing w:after="0"/>
            </w:pPr>
            <w:r/>
            <w:r>
              <w:rPr>
                <w:b w:val="0"/>
                <w:sz w:val="16"/>
              </w:rPr>
              <w:t>20260824</w:t>
            </w:r>
          </w:p>
        </w:tc>
        <w:tc>
          <w:tcPr>
            <w:tcW w:type="dxa" w:w="2448"/>
            <w:vAlign w:val="center"/>
          </w:tcPr>
          <w:p>
            <w:pPr>
              <w:spacing w:after="0"/>
            </w:pPr>
            <w:r/>
            <w:r>
              <w:rPr>
                <w:b w:val="0"/>
                <w:sz w:val="16"/>
              </w:rPr>
              <w:t>0.2299</w:t>
            </w:r>
          </w:p>
        </w:tc>
        <w:tc>
          <w:tcPr>
            <w:tcW w:type="dxa" w:w="2448"/>
            <w:vAlign w:val="center"/>
          </w:tcPr>
          <w:p>
            <w:pPr>
              <w:spacing w:after="0"/>
            </w:pPr>
            <w:r/>
            <w:r>
              <w:rPr>
                <w:b w:val="0"/>
                <w:sz w:val="16"/>
              </w:rPr>
              <w:t>0.2294</w:t>
            </w:r>
          </w:p>
        </w:tc>
        <w:tc>
          <w:tcPr>
            <w:tcW w:type="dxa" w:w="2448"/>
            <w:vAlign w:val="center"/>
          </w:tcPr>
          <w:p>
            <w:pPr>
              <w:spacing w:after="0"/>
            </w:pPr>
            <w:r/>
            <w:r>
              <w:rPr>
                <w:b w:val="0"/>
                <w:sz w:val="16"/>
              </w:rPr>
              <w:t>-0.0005</w:t>
            </w:r>
          </w:p>
        </w:tc>
      </w:tr>
      <w:tr>
        <w:tc>
          <w:tcPr>
            <w:tcW w:type="dxa" w:w="2448"/>
            <w:vAlign w:val="center"/>
          </w:tcPr>
          <w:p>
            <w:pPr>
              <w:spacing w:after="0"/>
            </w:pPr>
            <w:r/>
            <w:r>
              <w:rPr>
                <w:b w:val="0"/>
                <w:sz w:val="16"/>
              </w:rPr>
              <w:t>20260825</w:t>
            </w:r>
          </w:p>
        </w:tc>
        <w:tc>
          <w:tcPr>
            <w:tcW w:type="dxa" w:w="2448"/>
            <w:vAlign w:val="center"/>
          </w:tcPr>
          <w:p>
            <w:pPr>
              <w:spacing w:after="0"/>
            </w:pPr>
            <w:r/>
            <w:r>
              <w:rPr>
                <w:b w:val="0"/>
                <w:sz w:val="16"/>
              </w:rPr>
              <w:t>0.2776</w:t>
            </w:r>
          </w:p>
        </w:tc>
        <w:tc>
          <w:tcPr>
            <w:tcW w:type="dxa" w:w="2448"/>
            <w:vAlign w:val="center"/>
          </w:tcPr>
          <w:p>
            <w:pPr>
              <w:spacing w:after="0"/>
            </w:pPr>
            <w:r/>
            <w:r>
              <w:rPr>
                <w:b w:val="0"/>
                <w:sz w:val="16"/>
              </w:rPr>
              <w:t>0.2788</w:t>
            </w:r>
          </w:p>
        </w:tc>
        <w:tc>
          <w:tcPr>
            <w:tcW w:type="dxa" w:w="2448"/>
            <w:vAlign w:val="center"/>
          </w:tcPr>
          <w:p>
            <w:pPr>
              <w:spacing w:after="0"/>
            </w:pPr>
            <w:r/>
            <w:r>
              <w:rPr>
                <w:b w:val="0"/>
                <w:sz w:val="16"/>
              </w:rPr>
              <w:t>+0.0012</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0.1955</w:t>
            </w:r>
          </w:p>
        </w:tc>
        <w:tc>
          <w:tcPr>
            <w:tcW w:type="dxa" w:w="1958"/>
            <w:vAlign w:val="center"/>
          </w:tcPr>
          <w:p>
            <w:pPr>
              <w:spacing w:after="0"/>
            </w:pPr>
            <w:r/>
            <w:r>
              <w:rPr>
                <w:b w:val="0"/>
                <w:sz w:val="16"/>
              </w:rPr>
              <w:t>0.2299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0.1991</w:t>
            </w:r>
          </w:p>
        </w:tc>
        <w:tc>
          <w:tcPr>
            <w:tcW w:type="dxa" w:w="1958"/>
            <w:vAlign w:val="center"/>
          </w:tcPr>
          <w:p>
            <w:pPr>
              <w:spacing w:after="0"/>
            </w:pPr>
            <w:r/>
            <w:r>
              <w:rPr>
                <w:b w:val="0"/>
                <w:sz w:val="16"/>
              </w:rPr>
              <w:t>0.2313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0.2294</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0.2396</w:t>
            </w:r>
          </w:p>
        </w:tc>
        <w:tc>
          <w:tcPr>
            <w:tcW w:type="dxa" w:w="1958"/>
            <w:vAlign w:val="center"/>
          </w:tcPr>
          <w:p>
            <w:pPr>
              <w:spacing w:after="0"/>
            </w:pPr>
            <w:r/>
            <w:r>
              <w:rPr>
                <w:b w:val="0"/>
                <w:sz w:val="16"/>
              </w:rPr>
              <w:t>0.2776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0.2349</w:t>
            </w:r>
          </w:p>
        </w:tc>
        <w:tc>
          <w:tcPr>
            <w:tcW w:type="dxa" w:w="1958"/>
            <w:vAlign w:val="center"/>
          </w:tcPr>
          <w:p>
            <w:pPr>
              <w:spacing w:after="0"/>
            </w:pPr>
            <w:r/>
            <w:r>
              <w:rPr>
                <w:b w:val="0"/>
                <w:sz w:val="16"/>
              </w:rPr>
              <w:t>0.2699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0.2395</w:t>
            </w:r>
          </w:p>
        </w:tc>
        <w:tc>
          <w:tcPr>
            <w:tcW w:type="dxa" w:w="1958"/>
            <w:vAlign w:val="center"/>
          </w:tcPr>
          <w:p>
            <w:pPr>
              <w:spacing w:after="0"/>
            </w:pPr>
            <w:r/>
            <w:r>
              <w:rPr>
                <w:b w:val="0"/>
                <w:sz w:val="16"/>
              </w:rPr>
              <w:t>0.2787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0.2397</w:t>
            </w:r>
          </w:p>
        </w:tc>
        <w:tc>
          <w:tcPr>
            <w:tcW w:type="dxa" w:w="1958"/>
            <w:vAlign w:val="center"/>
          </w:tcPr>
          <w:p>
            <w:pPr>
              <w:spacing w:after="0"/>
            </w:pPr>
            <w:r/>
            <w:r>
              <w:rPr>
                <w:b w:val="0"/>
                <w:sz w:val="16"/>
              </w:rPr>
              <w:t>0.2788</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ind w:left="0" w:right="0"/>
        <w:jc w:val="center"/>
      </w:pPr>
      <w:r>
        <w:drawing>
          <wp:inline xmlns:a="http://schemas.openxmlformats.org/drawingml/2006/main" xmlns:pic="http://schemas.openxmlformats.org/drawingml/2006/picture">
            <wp:extent cx="5212080" cy="3127248"/>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212080" cy="3127248"/>
                    </a:xfrm>
                    <a:prstGeom prst="rect"/>
                  </pic:spPr>
                </pic:pic>
              </a:graphicData>
            </a:graphic>
          </wp:inline>
        </w:drawing>
      </w:r>
    </w:p>
    <w:p>
      <w:pPr>
        <w:ind w:left="0" w:right="0"/>
        <w:jc w:val="center"/>
      </w:pPr>
      <w:r>
        <w:t>Figure 1. Leave-one-dataset-out performance.</w:t>
      </w:r>
    </w:p>
    <w:p>
      <w:pPr>
        <w:ind w:left="0" w:right="0"/>
        <w:jc w:val="center"/>
      </w:pPr>
      <w:r>
        <w:drawing>
          <wp:inline xmlns:a="http://schemas.openxmlformats.org/drawingml/2006/main" xmlns:pic="http://schemas.openxmlformats.org/drawingml/2006/picture">
            <wp:extent cx="5212080" cy="3011424"/>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212080" cy="3011424"/>
                    </a:xfrm>
                    <a:prstGeom prst="rect"/>
                  </pic:spPr>
                </pic:pic>
              </a:graphicData>
            </a:graphic>
          </wp:inline>
        </w:drawing>
      </w:r>
    </w:p>
    <w:p>
      <w:pPr>
        <w:ind w:left="0" w:right="0"/>
        <w:jc w:val="center"/>
      </w:pPr>
      <w:r>
        <w:t>Figure 2. Modality conflict and fusion-minus-expression error differences.</w:t>
      </w:r>
    </w:p>
    <w:p>
      <w:pPr>
        <w:ind w:left="0" w:right="0"/>
        <w:jc w:val="center"/>
      </w:pPr>
      <w:r>
        <w:drawing>
          <wp:inline xmlns:a="http://schemas.openxmlformats.org/drawingml/2006/main" xmlns:pic="http://schemas.openxmlformats.org/drawingml/2006/picture">
            <wp:extent cx="5212080" cy="5051711"/>
            <wp:docPr id="3" name="Picture 3"/>
            <wp:cNvGraphicFramePr>
              <a:graphicFrameLocks noChangeAspect="1"/>
            </wp:cNvGraphicFramePr>
            <a:graphic>
              <a:graphicData uri="http://schemas.openxmlformats.org/drawingml/2006/picture">
                <pic:pic>
                  <pic:nvPicPr>
                    <pic:cNvPr id="0" name="figure_3a_cross_study_transfer.png"/>
                    <pic:cNvPicPr/>
                  </pic:nvPicPr>
                  <pic:blipFill>
                    <a:blip r:embed="rId11"/>
                    <a:stretch>
                      <a:fillRect/>
                    </a:stretch>
                  </pic:blipFill>
                  <pic:spPr>
                    <a:xfrm>
                      <a:off x="0" y="0"/>
                      <a:ext cx="5212080" cy="5051711"/>
                    </a:xfrm>
                    <a:prstGeom prst="rect"/>
                  </pic:spPr>
                </pic:pic>
              </a:graphicData>
            </a:graphic>
          </wp:inline>
        </w:drawing>
      </w:r>
    </w:p>
    <w:p>
      <w:pPr>
        <w:ind w:left="0" w:right="0"/>
        <w:jc w:val="center"/>
      </w:pPr>
      <w:r>
        <w:t>Figure 3A. Cross-study transfer by modality.</w:t>
      </w:r>
    </w:p>
    <w:p>
      <w:pPr>
        <w:ind w:left="0" w:right="0"/>
        <w:jc w:val="center"/>
      </w:pPr>
      <w:r>
        <w:drawing>
          <wp:inline xmlns:a="http://schemas.openxmlformats.org/drawingml/2006/main" xmlns:pic="http://schemas.openxmlformats.org/drawingml/2006/picture">
            <wp:extent cx="5212080" cy="5051711"/>
            <wp:docPr id="4" name="Picture 4"/>
            <wp:cNvGraphicFramePr>
              <a:graphicFrameLocks noChangeAspect="1"/>
            </wp:cNvGraphicFramePr>
            <a:graphic>
              <a:graphicData uri="http://schemas.openxmlformats.org/drawingml/2006/picture">
                <pic:pic>
                  <pic:nvPicPr>
                    <pic:cNvPr id="0" name="figure_3b_fusion_delta.png"/>
                    <pic:cNvPicPr/>
                  </pic:nvPicPr>
                  <pic:blipFill>
                    <a:blip r:embed="rId12"/>
                    <a:stretch>
                      <a:fillRect/>
                    </a:stretch>
                  </pic:blipFill>
                  <pic:spPr>
                    <a:xfrm>
                      <a:off x="0" y="0"/>
                      <a:ext cx="5212080" cy="5051711"/>
                    </a:xfrm>
                    <a:prstGeom prst="rect"/>
                  </pic:spPr>
                </pic:pic>
              </a:graphicData>
            </a:graphic>
          </wp:inline>
        </w:drawing>
      </w:r>
    </w:p>
    <w:p>
      <w:pPr>
        <w:ind w:left="0" w:right="0"/>
        <w:jc w:val="center"/>
      </w:pPr>
      <w:r>
        <w:t>Figure 3B. Fusion-minus-expression RMSE by held-out split.</w:t>
      </w:r>
    </w:p>
    <w:p>
      <w:pPr>
        <w:ind w:left="0" w:right="0"/>
        <w:jc w:val="center"/>
      </w:pPr>
      <w:r>
        <w:drawing>
          <wp:inline xmlns:a="http://schemas.openxmlformats.org/drawingml/2006/main" xmlns:pic="http://schemas.openxmlformats.org/drawingml/2006/picture">
            <wp:extent cx="5212080" cy="5051711"/>
            <wp:docPr id="5" name="Picture 5"/>
            <wp:cNvGraphicFramePr>
              <a:graphicFrameLocks noChangeAspect="1"/>
            </wp:cNvGraphicFramePr>
            <a:graphic>
              <a:graphicData uri="http://schemas.openxmlformats.org/drawingml/2006/picture">
                <pic:pic>
                  <pic:nvPicPr>
                    <pic:cNvPr id="0" name="figure_3c_modality_availability.png"/>
                    <pic:cNvPicPr/>
                  </pic:nvPicPr>
                  <pic:blipFill>
                    <a:blip r:embed="rId13"/>
                    <a:stretch>
                      <a:fillRect/>
                    </a:stretch>
                  </pic:blipFill>
                  <pic:spPr>
                    <a:xfrm>
                      <a:off x="0" y="0"/>
                      <a:ext cx="5212080" cy="5051711"/>
                    </a:xfrm>
                    <a:prstGeom prst="rect"/>
                  </pic:spPr>
                </pic:pic>
              </a:graphicData>
            </a:graphic>
          </wp:inline>
        </w:drawing>
      </w:r>
    </w:p>
    <w:p>
      <w:pPr>
        <w:ind w:left="0" w:right="0"/>
        <w:jc w:val="center"/>
      </w:pPr>
      <w:r>
        <w:t>Figure 3C. Outer-join modality availability.</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This pattern is compatible with prior reports that multimodal integration can improve prediction under particular data and validation settings [5,8], while benchmarking work shows variation across algorithms, drugs, and transfer targets [9,10]. Our controlled comparison adds a more modest observation: the incremental fusion effect is small within the declared drug-held-out benchmark and reverses direction under source-dataset transfer. This does not refute multimodal modeling; it shows why a gain observed in one validation regime should not be generalized to another without direct testing. The study is limited by the small declared 15-drug universe, limited same-drug overlap across datasets, and the use of compact Ridge baselines rather than a broad model class.</w:t>
      </w:r>
    </w:p>
    <w:p>
      <w:pPr>
        <w:spacing w:after="120" w:line="259" w:lineRule="auto"/>
      </w:pPr>
      <w:r>
        <w:t>H1 was only partially supported: fusion improved the mean across five drug-held-out seeds, but the sign was favorable in three seeds and unfavorable in two.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spacing w:after="120" w:line="259" w:lineRule="auto"/>
      </w:pPr>
      <w:r>
        <w:t>The methodological implication is that validation design is part of the scientific claim. A random cell-line–drug split can estimate interpolation within an existing response system, whereas a drug-held-out split asks whether molecular features support prediction for compounds not represented in training. A leave-one-dataset-out split adds a different stress test: it asks whether the learned relationship survives a change in source, assay, and coverage. These estimands should not be conflated. Our study uses them sequentially to show that the answer to ‘does fusion help?’ depends on which generalization target is intended.</w:t>
      </w:r>
    </w:p>
    <w:p>
      <w:pPr>
        <w:spacing w:after="120" w:line="259" w:lineRule="auto"/>
      </w:pPr>
      <w: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p>
    <w:p>
      <w:pPr>
        <w:spacing w:after="120" w:line="259" w:lineRule="auto"/>
      </w:pPr>
      <w:r>
        <w:t>The small size of the observed within-universe effect is itself informative for model development. The mean difference is much smaller than the variation in absolute RMSE across seeds, and the direction changes in two of five comparisons.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Fusion improved the mean across five seeds, but only three of five seed-level comparisons favored fusion and the effect sizes were small relative to the absolute error. We therefore describe this result as uncertain,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the descriptive per-drug audit with eight unique held-out compounds across repeated seed-specific cells, and the absence of prospective experimental validation. The modality set also excludes potentially informative assays such as proteomics, methylation, drug chemical structure, and lineage-aware representations. We report RMSE and MAE but do not provide a complete ranking-oriented evaluation using Pearson or Spearman correlation, and we do not test chemical-scaffold separation between training and held-out drugs. Source-specific AUC scales were retained rather than harmonized, so LOOD error magnitudes should not be read as directly comparable biological difficulty across datasets. No patient, organoid, PDX, or prospective external cohort was evaluated.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Conclusion</w:t>
      </w:r>
    </w:p>
    <w:p>
      <w:pPr>
        <w:spacing w:after="120" w:line="259" w:lineRule="auto"/>
      </w:pPr>
      <w:r>
        <w:t>In this small, declared DepMap benchmark, adding copy-number and mutation blocks to expression produced a small mean improvement in drug-held-out prediction, but the direction changed across repeated splits and the improvement did not transfer to any of the three held-out source datasets. The result is therefore conditional rather than universal. The practical contribution is a reproducible comparison framework that makes the held-out entity, fold-local feature selection, structured availability, and transfer target explicit. Larger common-drug universes, external test sets, missingness-aware models, and alternative learners are needed before deciding whether the observed pattern generalizes beyond this Ridge-based construction.</w:t>
      </w:r>
    </w:p>
    <w:p>
      <w:pPr>
        <w:pStyle w:val="Heading1"/>
        <w:keepNext/>
      </w:pPr>
      <w:r>
        <w:t>6.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7.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t>[11] Gouru G. Precision oncology: Computational methods for multi-omics data integration to improve drug response prediction. Cambridge Prisms Precis Med. 2025;3:e6. doi:10.1017/pcm.2025.10003.</w:t>
      </w:r>
    </w:p>
    <w:p>
      <w:r>
        <w:t>[12] Li D, et al. Multi-omics modality completion and knowledge distillation for drug response prediction in cervical cancer. Front Oncol. 2025;15:1622600. doi:10.3389/fonc.2025.1622600.</w:t>
      </w:r>
    </w:p>
    <w:p>
      <w:r>
        <w:t>[13] Del Real KS, et al. Foundation models and deep learning for cancer drug response prediction: a framework for data, metrics, and validation. Brief Bioinform. 2026;27:bbag225. doi:10.1093/bib/bbag225.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 = 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in 3 of 5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declared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r>
        <w:rPr>
          <w:b/>
        </w:rPr>
        <w:t xml:space="preserve">Supplementary Table S2.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S3.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declared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5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CTD²,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