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DPI_1.2_title"/>
        <w:jc w:val="center"/>
      </w:pPr>
      <w:r>
        <w:rPr>
          <w:b/>
          <w:color w:val="000000"/>
          <w:sz w:val="40"/>
        </w:rPr>
        <w:t>When More Omics Is Not Always Better: Drug- and Dataset-Conditional Value of Multimodal Cancer Pharmacogenomics</w:t>
      </w:r>
    </w:p>
    <w:p>
      <w:pPr>
        <w:pStyle w:val="MDPI_3.1_text"/>
        <w:jc w:val="center"/>
      </w:pPr>
      <w:r>
        <w:rPr>
          <w:b/>
        </w:rPr>
        <w:t>Carlos Victor Montefusco-Pereira</w:t>
        <w:br/>
      </w:r>
      <w:r>
        <w:t>Independent Researcher in Data Science and AI for Pharmaceutical Industry</w:t>
        <w:br/>
        <w:t>Friedrich-Wilhelm 28, 12103 Berlin, Germany</w:t>
        <w:br/>
        <w:t>Corresponding author: cmontefusco@gmail.com</w:t>
      </w:r>
    </w:p>
    <w:p>
      <w:pPr>
        <w:pStyle w:val="MDPI_3.1_text"/>
      </w:pPr>
    </w:p>
    <w:p>
      <w:pPr>
        <w:pStyle w:val="MDPI_3.1_text"/>
      </w:pPr>
      <w:r>
        <w:rPr>
          <w:b/>
        </w:rPr>
        <w:t xml:space="preserve">Article type: </w:t>
      </w:r>
      <w:r>
        <w:t>Research article</w:t>
      </w:r>
    </w:p>
    <w:p>
      <w:pPr>
        <w:pStyle w:val="MDPI_3.1_text"/>
      </w:pPr>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pStyle w:val="MDPI_3.1_text"/>
      </w:pPr>
      <w:r>
        <w:br w:type="page"/>
      </w:r>
    </w:p>
    <w:p>
      <w:pPr>
        <w:pStyle w:val="MDPI_1.7_abstract"/>
        <w:keepNext/>
      </w:pPr>
      <w:r>
        <w:t>Abstract</w:t>
      </w:r>
    </w:p>
    <w:p>
      <w:pPr>
        <w:pStyle w:val="MDPI_3.1_text"/>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pPr>
        <w:pStyle w:val="MDPI_1.8_keywords"/>
      </w:pPr>
      <w:r>
        <w:rPr>
          <w:b/>
        </w:rPr>
        <w:t xml:space="preserve">Keywords: </w:t>
      </w:r>
      <w:r>
        <w:t>information fusion; drug response; multi-omics; cancer; missing data; cross-study validation</w:t>
      </w:r>
    </w:p>
    <w:p>
      <w:pPr>
        <w:pStyle w:val="MDPI_2.1_heading1"/>
        <w:keepNext/>
      </w:pPr>
      <w:r>
        <w:t>1. Introduction</w:t>
      </w:r>
    </w:p>
    <w:p>
      <w:pPr>
        <w:pStyle w:val="MDPI_3.1_text"/>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MDPI_2.2_heading2"/>
        <w:keepNext/>
      </w:pPr>
      <w:r>
        <w:t>1.1. Brief literature context</w:t>
      </w:r>
    </w:p>
    <w:p>
      <w:pPr>
        <w:pStyle w:val="MDPI_3.1_text"/>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pStyle w:val="MDPI_3.1_text"/>
        <w:spacing w:after="120" w:line="259" w:lineRule="auto"/>
      </w:pPr>
      <w:r>
        <w:t>For pharmaceutical research, the relevant endpoint is not only predictive accuracy but whether a model can support transparent prioritization of compounds, biomarkers, and follow-up experiments. A model that performs reliably across a declared validation target may help rank candidate molecular contexts for early discovery studies; however, cell-line prediction alone does not establish clinical utility, prospective benefit, or suitability for dosing decisions. These boundaries motivate an evaluation that reports transfer failures and data-availability constraints alongside average error metrics.</w:t>
      </w:r>
    </w:p>
    <w:p>
      <w:pPr>
        <w:pStyle w:val="MDPI_3.1_text"/>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pStyle w:val="MDPI_3.1_text"/>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pStyle w:val="MDPI_3.1_text"/>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pStyle w:val="MDPI_3.1_text"/>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pStyle w:val="MDPI_3.1_text"/>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MDPI_2.2_heading2"/>
        <w:keepNext/>
      </w:pPr>
      <w:r>
        <w:t>1.2. Research questions and hypotheses</w:t>
      </w:r>
    </w:p>
    <w:p>
      <w:pPr>
        <w:pStyle w:val="MDPI_3.1_text"/>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MDPI_2.1_heading1"/>
        <w:keepNext/>
      </w:pPr>
      <w:r>
        <w:t>2. Methods</w:t>
      </w:r>
    </w:p>
    <w:p>
      <w:pPr>
        <w:pStyle w:val="MDPI_3.1_text"/>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MDPI_2.2_heading2"/>
        <w:keepNext/>
      </w:pPr>
      <w:r>
        <w:t>2.1. Evaluation scope</w:t>
      </w:r>
    </w:p>
    <w:p>
      <w:pPr>
        <w:pStyle w:val="MDPI_3.1_text"/>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MDPI_2.2_heading2"/>
        <w:keepNext/>
      </w:pPr>
      <w:r>
        <w:t>2.2. Metrics and interpretation</w:t>
      </w:r>
    </w:p>
    <w:p>
      <w:pPr>
        <w:pStyle w:val="MDPI_3.1_text"/>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MDPI_2.2_heading2"/>
        <w:keepNext/>
      </w:pPr>
      <w:r>
        <w:t>2.3. Dataset harmonization and response definition</w:t>
      </w:r>
    </w:p>
    <w:p>
      <w:pPr>
        <w:pStyle w:val="MDPI_3.1_text"/>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MDPI_2.2_heading2"/>
        <w:keepNext/>
      </w:pPr>
      <w:r>
        <w:t>2.4. Feature construction and leakage control</w:t>
      </w:r>
    </w:p>
    <w:p>
      <w:pPr>
        <w:pStyle w:val="MDPI_3.1_text"/>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MDPI_2.2_heading2"/>
        <w:keepNext/>
      </w:pPr>
      <w:r>
        <w:t>2.5. Model specification and baselines</w:t>
      </w:r>
    </w:p>
    <w:p>
      <w:pPr>
        <w:pStyle w:val="MDPI_3.1_text"/>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MDPI_3.1_text"/>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MDPI_2.2_heading2"/>
        <w:keepNext/>
      </w:pPr>
      <w:r>
        <w:t>2.6. Split manifests and reproducibility</w:t>
      </w:r>
    </w:p>
    <w:p>
      <w:pPr>
        <w:pStyle w:val="MDPI_3.1_text"/>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MDPI_2.2_heading2"/>
        <w:keepNext/>
      </w:pPr>
      <w:r>
        <w:t>2.7. Analysis sequence and implementation controls</w:t>
      </w:r>
    </w:p>
    <w:p>
      <w:pPr>
        <w:pStyle w:val="MDPI_3.1_text"/>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pStyle w:val="MDPI_3.1_text"/>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MDPI_2.1_heading1"/>
        <w:keepNext/>
      </w:pPr>
      <w:r>
        <w:t>3. Results</w:t>
      </w:r>
    </w:p>
    <w:p>
      <w:pPr>
        <w:pStyle w:val="MDPI_2.2_heading2"/>
        <w:keepNext/>
      </w:pPr>
      <w:r>
        <w:t>3.1. Drug-heldout validation</w:t>
      </w:r>
    </w:p>
    <w:p>
      <w:pPr>
        <w:pStyle w:val="MDPI_3.1_text"/>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pStyle w:val="MDPI_3.1_text"/>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MDPI_2.2_heading2"/>
        <w:keepNext/>
      </w:pPr>
      <w:r>
        <w:t>3.2. Cross-study transfer</w:t>
      </w:r>
    </w:p>
    <w:p>
      <w:pPr>
        <w:pStyle w:val="MDPI_3.1_text"/>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pStyle w:val="MDPI_3.1_text"/>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MDPI_2.2_heading2"/>
        <w:keepNext/>
      </w:pPr>
      <w:r>
        <w:t>3.3. Missingness and redundancy</w:t>
      </w:r>
    </w:p>
    <w:p>
      <w:pPr>
        <w:pStyle w:val="MDPI_3.1_text"/>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pStyle w:val="MDPI_3.1_text"/>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MDPI_3.1_text"/>
      </w:pPr>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pStyle w:val="MDPI_3.1_text"/>
        <w:spacing w:after="40"/>
      </w:pPr>
    </w:p>
    <w:p>
      <w:pPr>
        <w:pStyle w:val="MDPI_3.1_text"/>
      </w:pPr>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pStyle w:val="MDPI_3.1_text"/>
        <w:spacing w:after="40"/>
      </w:pPr>
    </w:p>
    <w:p>
      <w:pPr>
        <w:pStyle w:val="MDPI_3.1_text"/>
      </w:pPr>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pStyle w:val="MDPI_3.1_text"/>
        <w:spacing w:after="40"/>
      </w:pPr>
    </w:p>
    <w:p>
      <w:pPr>
        <w:pStyle w:val="MDPI_3.1_text"/>
      </w:pPr>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pStyle w:val="MDPI_3.1_text"/>
        <w:spacing w:after="40"/>
      </w:pPr>
    </w:p>
    <w:p>
      <w:pPr>
        <w:pStyle w:val="MDPI_3.1_text"/>
      </w:pPr>
      <w:r>
        <w:br w:type="page"/>
      </w:r>
    </w:p>
    <w:p>
      <w:pPr>
        <w:pStyle w:val="MDPI_3.1_text"/>
      </w:pPr>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pStyle w:val="MDPI_3.1_text"/>
        <w:spacing w:after="40"/>
      </w:pPr>
    </w:p>
    <w:p>
      <w:pPr>
        <w:pStyle w:val="MDPI_3.1_text"/>
        <w:ind w:left="0" w:right="0"/>
        <w:jc w:val="center"/>
      </w:pPr>
      <w:r>
        <w:drawing>
          <wp:inline xmlns:a="http://schemas.openxmlformats.org/drawingml/2006/main" xmlns:pic="http://schemas.openxmlformats.org/drawingml/2006/picture">
            <wp:extent cx="5212080" cy="3127248"/>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212080" cy="3127248"/>
                    </a:xfrm>
                    <a:prstGeom prst="rect"/>
                  </pic:spPr>
                </pic:pic>
              </a:graphicData>
            </a:graphic>
          </wp:inline>
        </w:drawing>
      </w:r>
    </w:p>
    <w:p>
      <w:pPr>
        <w:pStyle w:val="MDPI_3.1_text"/>
        <w:ind w:left="0" w:right="0"/>
        <w:jc w:val="center"/>
      </w:pPr>
      <w:r>
        <w:t>Figure 1. Leave-one-dataset-out performance.</w:t>
      </w:r>
    </w:p>
    <w:p>
      <w:pPr>
        <w:pStyle w:val="MDPI_3.1_text"/>
        <w:ind w:left="0" w:right="0"/>
        <w:jc w:val="center"/>
      </w:pPr>
      <w:r>
        <w:drawing>
          <wp:inline xmlns:a="http://schemas.openxmlformats.org/drawingml/2006/main" xmlns:pic="http://schemas.openxmlformats.org/drawingml/2006/picture">
            <wp:extent cx="5212080" cy="3011424"/>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212080" cy="3011424"/>
                    </a:xfrm>
                    <a:prstGeom prst="rect"/>
                  </pic:spPr>
                </pic:pic>
              </a:graphicData>
            </a:graphic>
          </wp:inline>
        </w:drawing>
      </w:r>
    </w:p>
    <w:p>
      <w:pPr>
        <w:pStyle w:val="MDPI_3.1_text"/>
        <w:ind w:left="0" w:right="0"/>
        <w:jc w:val="center"/>
      </w:pPr>
      <w:r>
        <w:t>Figure 2. Modality conflict and fusion-minus-expression error differences.</w:t>
      </w:r>
    </w:p>
    <w:p>
      <w:pPr>
        <w:pStyle w:val="MDPI_3.1_text"/>
        <w:ind w:left="0" w:right="0"/>
        <w:jc w:val="center"/>
      </w:pPr>
      <w:r>
        <w:drawing>
          <wp:inline xmlns:a="http://schemas.openxmlformats.org/drawingml/2006/main" xmlns:pic="http://schemas.openxmlformats.org/drawingml/2006/picture">
            <wp:extent cx="5212080" cy="5051711"/>
            <wp:docPr id="3" name="Picture 3"/>
            <wp:cNvGraphicFramePr>
              <a:graphicFrameLocks noChangeAspect="1"/>
            </wp:cNvGraphicFramePr>
            <a:graphic>
              <a:graphicData uri="http://schemas.openxmlformats.org/drawingml/2006/picture">
                <pic:pic>
                  <pic:nvPicPr>
                    <pic:cNvPr id="0" name="figure_3a_cross_study_transfer.png"/>
                    <pic:cNvPicPr/>
                  </pic:nvPicPr>
                  <pic:blipFill>
                    <a:blip r:embed="rId11"/>
                    <a:stretch>
                      <a:fillRect/>
                    </a:stretch>
                  </pic:blipFill>
                  <pic:spPr>
                    <a:xfrm>
                      <a:off x="0" y="0"/>
                      <a:ext cx="5212080" cy="5051711"/>
                    </a:xfrm>
                    <a:prstGeom prst="rect"/>
                  </pic:spPr>
                </pic:pic>
              </a:graphicData>
            </a:graphic>
          </wp:inline>
        </w:drawing>
      </w:r>
    </w:p>
    <w:p>
      <w:pPr>
        <w:pStyle w:val="MDPI_3.1_text"/>
        <w:ind w:left="0" w:right="0"/>
        <w:jc w:val="center"/>
      </w:pPr>
      <w:r>
        <w:t>Figure 3A. Cross-study transfer by modality.</w:t>
      </w:r>
    </w:p>
    <w:p>
      <w:pPr>
        <w:pStyle w:val="MDPI_3.1_text"/>
        <w:ind w:left="0" w:right="0"/>
        <w:jc w:val="center"/>
      </w:pPr>
      <w:r>
        <w:drawing>
          <wp:inline xmlns:a="http://schemas.openxmlformats.org/drawingml/2006/main" xmlns:pic="http://schemas.openxmlformats.org/drawingml/2006/picture">
            <wp:extent cx="5212080" cy="5051711"/>
            <wp:docPr id="4" name="Picture 4"/>
            <wp:cNvGraphicFramePr>
              <a:graphicFrameLocks noChangeAspect="1"/>
            </wp:cNvGraphicFramePr>
            <a:graphic>
              <a:graphicData uri="http://schemas.openxmlformats.org/drawingml/2006/picture">
                <pic:pic>
                  <pic:nvPicPr>
                    <pic:cNvPr id="0" name="figure_3b_fusion_delta.png"/>
                    <pic:cNvPicPr/>
                  </pic:nvPicPr>
                  <pic:blipFill>
                    <a:blip r:embed="rId12"/>
                    <a:stretch>
                      <a:fillRect/>
                    </a:stretch>
                  </pic:blipFill>
                  <pic:spPr>
                    <a:xfrm>
                      <a:off x="0" y="0"/>
                      <a:ext cx="5212080" cy="5051711"/>
                    </a:xfrm>
                    <a:prstGeom prst="rect"/>
                  </pic:spPr>
                </pic:pic>
              </a:graphicData>
            </a:graphic>
          </wp:inline>
        </w:drawing>
      </w:r>
    </w:p>
    <w:p>
      <w:pPr>
        <w:pStyle w:val="MDPI_3.1_text"/>
        <w:ind w:left="0" w:right="0"/>
        <w:jc w:val="center"/>
      </w:pPr>
      <w:r>
        <w:t>Figure 3B. Fusion-minus-expression RMSE by held-out split.</w:t>
      </w:r>
    </w:p>
    <w:p>
      <w:pPr>
        <w:pStyle w:val="MDPI_3.1_text"/>
        <w:ind w:left="0" w:right="0"/>
        <w:jc w:val="center"/>
      </w:pPr>
      <w:r>
        <w:drawing>
          <wp:inline xmlns:a="http://schemas.openxmlformats.org/drawingml/2006/main" xmlns:pic="http://schemas.openxmlformats.org/drawingml/2006/picture">
            <wp:extent cx="5212080" cy="5051711"/>
            <wp:docPr id="5" name="Picture 5"/>
            <wp:cNvGraphicFramePr>
              <a:graphicFrameLocks noChangeAspect="1"/>
            </wp:cNvGraphicFramePr>
            <a:graphic>
              <a:graphicData uri="http://schemas.openxmlformats.org/drawingml/2006/picture">
                <pic:pic>
                  <pic:nvPicPr>
                    <pic:cNvPr id="0" name="figure_3c_modality_availability.png"/>
                    <pic:cNvPicPr/>
                  </pic:nvPicPr>
                  <pic:blipFill>
                    <a:blip r:embed="rId13"/>
                    <a:stretch>
                      <a:fillRect/>
                    </a:stretch>
                  </pic:blipFill>
                  <pic:spPr>
                    <a:xfrm>
                      <a:off x="0" y="0"/>
                      <a:ext cx="5212080" cy="5051711"/>
                    </a:xfrm>
                    <a:prstGeom prst="rect"/>
                  </pic:spPr>
                </pic:pic>
              </a:graphicData>
            </a:graphic>
          </wp:inline>
        </w:drawing>
      </w:r>
    </w:p>
    <w:p>
      <w:pPr>
        <w:pStyle w:val="MDPI_3.1_text"/>
        <w:ind w:left="0" w:right="0"/>
        <w:jc w:val="center"/>
      </w:pPr>
      <w:r>
        <w:t>Figure 3C. Outer-join modality availability.</w:t>
      </w:r>
    </w:p>
    <w:p>
      <w:pPr>
        <w:pStyle w:val="MDPI_2.1_heading1"/>
        <w:keepNext/>
      </w:pPr>
      <w:r>
        <w:t>4. Discussion</w:t>
      </w:r>
    </w:p>
    <w:p>
      <w:pPr>
        <w:pStyle w:val="MDPI_3.1_text"/>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pStyle w:val="MDPI_3.1_text"/>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pStyle w:val="MDPI_3.1_text"/>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MDPI_3.1_text"/>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pStyle w:val="MDPI_3.1_text"/>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pStyle w:val="MDPI_3.1_text"/>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MDPI_2.2_heading2"/>
        <w:keepNext/>
      </w:pPr>
      <w:r>
        <w:t>4.1. Interpretation of the within-dataset result</w:t>
      </w:r>
    </w:p>
    <w:p>
      <w:pPr>
        <w:pStyle w:val="MDPI_3.1_text"/>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MDPI_2.2_heading2"/>
        <w:keepNext/>
      </w:pPr>
      <w:r>
        <w:t>4.2. Interpretation of cross-study degradation</w:t>
      </w:r>
    </w:p>
    <w:p>
      <w:pPr>
        <w:pStyle w:val="MDPI_3.1_text"/>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MDPI_2.2_heading2"/>
        <w:keepNext/>
      </w:pPr>
      <w:r>
        <w:t>4.3. Missingness, redundancy, and model choice</w:t>
      </w:r>
    </w:p>
    <w:p>
      <w:pPr>
        <w:pStyle w:val="MDPI_3.1_text"/>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MDPI_2.2_heading2"/>
        <w:keepNext/>
      </w:pPr>
      <w:r>
        <w:t>4.4. Relation to prior multimodal work</w:t>
      </w:r>
    </w:p>
    <w:p>
      <w:pPr>
        <w:pStyle w:val="MDPI_3.1_text"/>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MDPI_2.2_heading2"/>
        <w:keepNext/>
      </w:pPr>
      <w:r>
        <w:t>4.5. Limitations and next experiments</w:t>
      </w:r>
    </w:p>
    <w:p>
      <w:pPr>
        <w:pStyle w:val="MDPI_3.1_text"/>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MDPI_2.1_heading1"/>
        <w:keepNext/>
      </w:pPr>
      <w:r>
        <w:t>5. Conclusion</w:t>
      </w:r>
    </w:p>
    <w:p>
      <w:pPr>
        <w:pStyle w:val="MDPI_3.1_text"/>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MDPI_2.1_heading1"/>
        <w:keepNext/>
      </w:pPr>
      <w:r>
        <w:t>6. Data and code availability</w:t>
      </w:r>
    </w:p>
    <w:p>
      <w:pPr>
        <w:pStyle w:val="MDPI_3.1_text"/>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MDPI_2.1_heading1"/>
        <w:keepNext/>
      </w:pPr>
      <w:r>
        <w:t>7. References</w:t>
      </w:r>
    </w:p>
    <w:p>
      <w:pPr>
        <w:pStyle w:val="MDPI_3.1_text"/>
      </w:pPr>
      <w:r>
        <w:t>[1] Barretina J, et al. The Cancer Cell Line Encyclopedia enables predictive modelling of anticancer drug sensitivity. Nature. 2012;483:603–607. doi:10.1038/nature11003.</w:t>
      </w:r>
    </w:p>
    <w:p>
      <w:pPr>
        <w:pStyle w:val="MDPI_3.1_text"/>
      </w:pPr>
      <w:r>
        <w:t>[2] Iorio F, et al. A landscape of pharmacogenomic interactions in cancer. Cell. 2016;166:740–754. doi:10.1016/j.cell.2016.06.017.</w:t>
      </w:r>
    </w:p>
    <w:p>
      <w:pPr>
        <w:pStyle w:val="MDPI_3.1_text"/>
      </w:pPr>
      <w:r>
        <w:t>[3] Tsherniak A, et al. Defining a cancer dependency map. Cell. 2017;170:564–576.e16. doi:10.1016/j.cell.2017.06.010.</w:t>
      </w:r>
    </w:p>
    <w:p>
      <w:pPr>
        <w:pStyle w:val="MDPI_3.1_text"/>
      </w:pPr>
      <w:r>
        <w:t>[4] Azuaje F. Computational models for predicting drug responses in cancer research. Brief Bioinform. 2017;18:820–829. doi:10.1093/bib/bbw065.</w:t>
      </w:r>
    </w:p>
    <w:p>
      <w:pPr>
        <w:pStyle w:val="MDPI_3.1_text"/>
      </w:pPr>
      <w:r>
        <w:t>[5] Sharifi-Noghabi H, et al. MOLI: multi-omics late integration with deep neural networks for drug response prediction. Bioinformatics. 2019;35:i501–i509. doi:10.1093/bioinformatics/btz318.</w:t>
      </w:r>
    </w:p>
    <w:p>
      <w:pPr>
        <w:pStyle w:val="MDPI_3.1_text"/>
      </w:pPr>
      <w:r>
        <w:t>[6] Cai Z, et al. Machine learning for multi-omics data integration in cancer. iScience. 2022;25:103798. doi:10.1016/j.isci.2022.103798.</w:t>
      </w:r>
    </w:p>
    <w:p>
      <w:pPr>
        <w:pStyle w:val="MDPI_3.1_text"/>
      </w:pPr>
      <w:r>
        <w:t>[7] DepMap. How should I cite DepMap data? DepMap Portal. Updated 2025.</w:t>
      </w:r>
    </w:p>
    <w:p>
      <w:pPr>
        <w:pStyle w:val="MDPI_3.1_text"/>
      </w:pPr>
      <w:r>
        <w:t>[8] Kuenzi BM, et al. Predicting drug response and synergy using a deep learning model of human cancer cells. Cancer Cell. 2020;38:672–684.e6. doi:10.1016/j.ccell.2020.09.014.</w:t>
      </w:r>
    </w:p>
    <w:p>
      <w:pPr>
        <w:pStyle w:val="MDPI_3.1_text"/>
      </w:pPr>
      <w:r>
        <w:t>[9] Chawla S, Rockstroh A, Lehman M, et al. Gene expression based inference of cancer drug sensitivity. Nat Commun. 2022;13:5680. doi:10.1038/s41467-022-33291-z.</w:t>
      </w:r>
    </w:p>
    <w:p>
      <w:pPr>
        <w:pStyle w:val="MDPI_3.1_text"/>
      </w:pPr>
      <w:r>
        <w:t>[10] Baptista D, Ferreira PG, Rocha M. Deep learning for drug response prediction in cancer. Brief Bioinform. 2023;24:bbac605. doi:10.1093/bib/bbac605.</w:t>
      </w:r>
    </w:p>
    <w:p>
      <w:pPr>
        <w:pStyle w:val="MDPI_3.1_text"/>
      </w:pPr>
      <w:r>
        <w:t>[11] Gouru G. Precision oncology: Computational methods for multi-omics data integration to improve drug response prediction. Cambridge Prisms Precis Med. 2025;3:e6. doi:10.1017/pcm.2025.10003.</w:t>
      </w:r>
    </w:p>
    <w:p>
      <w:pPr>
        <w:pStyle w:val="MDPI_3.1_text"/>
      </w:pPr>
      <w:r>
        <w:t>[12] Li D, et al. Multi-omics modality completion and knowledge distillation for drug response prediction in cervical cancer. Front Oncol. 2025;15:1622600. doi:10.3389/fonc.2025.1622600.</w:t>
      </w:r>
    </w:p>
    <w:p>
      <w:pPr>
        <w:pStyle w:val="MDPI_3.1_text"/>
      </w:pPr>
      <w:r>
        <w:t>[13] Del Real KS, et al. Foundation models and deep learning for cancer drug response prediction: a framework for data, metrics, and validation. Brief Bioinform. 2026;27:bbag225. doi:10.1093/bib/bbag225.</w:t>
      </w:r>
    </w:p>
    <w:p>
      <w:pPr>
        <w:pStyle w:val="MDPI_3.1_text"/>
      </w:pPr>
      <w:r>
        <w:br w:type="page"/>
      </w:r>
    </w:p>
    <w:p>
      <w:pPr>
        <w:pStyle w:val="MDPI_3.1_text"/>
        <w:keepNext/>
      </w:pPr>
      <w:r>
        <w:t>Appendix A. Reproducibility and reporting specification</w:t>
      </w:r>
    </w:p>
    <w:p>
      <w:pPr>
        <w:pStyle w:val="MDPI_3.1_text"/>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MDPI_3.1_text"/>
        <w:keepNext/>
      </w:pPr>
      <w:r>
        <w:t>A.1. Analysis sequence</w:t>
      </w:r>
    </w:p>
    <w:p>
      <w:pPr>
        <w:pStyle w:val="MDPI_3.1_text"/>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pStyle w:val="MDPI_3.1_text"/>
      </w:pPr>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pStyle w:val="MDPI_3.1_text"/>
        <w:spacing w:after="40"/>
      </w:pPr>
    </w:p>
    <w:p>
      <w:pPr>
        <w:pStyle w:val="MDPI_3.1_text"/>
        <w:keepNext/>
      </w:pPr>
      <w:r>
        <w:t>A.2. Estimands and comparison rules</w:t>
      </w:r>
    </w:p>
    <w:p>
      <w:pPr>
        <w:pStyle w:val="MDPI_3.1_text"/>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MDPI_3.1_text"/>
        <w:keepNext/>
      </w:pPr>
      <w:r>
        <w:t>A.3. Missingness and availability audit</w:t>
      </w:r>
    </w:p>
    <w:p>
      <w:pPr>
        <w:pStyle w:val="MDPI_3.1_text"/>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pStyle w:val="MDPI_3.1_text"/>
      </w:pPr>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pStyle w:val="MDPI_3.1_text"/>
        <w:spacing w:after="40"/>
      </w:pPr>
    </w:p>
    <w:p>
      <w:pPr>
        <w:pStyle w:val="MDPI_3.1_text"/>
        <w:keepNext/>
      </w:pPr>
      <w:r>
        <w:t>A.4. Recommended extensions</w:t>
      </w:r>
    </w:p>
    <w:p>
      <w:pPr>
        <w:pStyle w:val="MDPI_3.1_text"/>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MDPI_3.1_text"/>
        <w:keepNext/>
      </w:pPr>
      <w:r>
        <w:t>A.5. Minimum reporting checklist for future comparisons</w:t>
      </w:r>
    </w:p>
    <w:p>
      <w:pPr>
        <w:pStyle w:val="MDPI_3.1_text"/>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pStyle w:val="MDPI_3.1_text"/>
      </w:pPr>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pStyle w:val="MDPI_3.1_text"/>
        <w:spacing w:after="40"/>
      </w:pPr>
    </w:p>
    <w:p>
      <w:pPr>
        <w:pStyle w:val="MDPI_3.1_text"/>
      </w:pPr>
      <w:r>
        <w:br w:type="page"/>
      </w:r>
    </w:p>
    <w:p>
      <w:pPr>
        <w:pStyle w:val="MDPI_3.1_text"/>
        <w:keepNext/>
      </w:pPr>
      <w:r>
        <w:t>Supplementary material</w:t>
      </w:r>
    </w:p>
    <w:p>
      <w:pPr>
        <w:pStyle w:val="MDPI_3.1_text"/>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pStyle w:val="MDPI_3.1_text"/>
      </w:pPr>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pStyle w:val="MDPI_3.1_text"/>
        <w:spacing w:after="40"/>
      </w:pPr>
    </w:p>
    <w:p>
      <w:pPr>
        <w:pStyle w:val="MDPI_3.1_text"/>
      </w:pPr>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pStyle w:val="MDPI_3.1_text"/>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A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7EA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7EA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7EA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7EA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7EA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7EA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7EA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7EA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77B5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7EA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7EA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7EA2"/>
    <w:rPr>
      <w:rFonts w:ascii="Palatino Linotype" w:hAnsi="Palatino Linotype"/>
      <w:noProof/>
      <w:color w:val="000000"/>
      <w:szCs w:val="18"/>
    </w:rPr>
  </w:style>
  <w:style w:type="paragraph" w:styleId="Header">
    <w:name w:val="header"/>
    <w:basedOn w:val="Normal"/>
    <w:link w:val="HeaderChar"/>
    <w:uiPriority w:val="99"/>
    <w:rsid w:val="00937EA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7EA2"/>
    <w:rPr>
      <w:rFonts w:ascii="Palatino Linotype" w:hAnsi="Palatino Linotype"/>
      <w:noProof/>
      <w:color w:val="000000"/>
      <w:szCs w:val="18"/>
    </w:rPr>
  </w:style>
  <w:style w:type="paragraph" w:customStyle="1" w:styleId="MDPI32textnoindent">
    <w:name w:val="MDPI_3.2_text_no_indent"/>
    <w:basedOn w:val="MDPI31text"/>
    <w:qFormat/>
    <w:rsid w:val="00937EA2"/>
    <w:pPr>
      <w:ind w:firstLine="0"/>
    </w:pPr>
  </w:style>
  <w:style w:type="paragraph" w:customStyle="1" w:styleId="MDPI31text">
    <w:name w:val="MDPI_3.1_text"/>
    <w:qFormat/>
    <w:rsid w:val="00CF5DAD"/>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7EA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7EA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7EA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731CDD"/>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731CDD"/>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7EA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7EA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7EA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D154A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7EA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7EA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7EA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937EA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7EA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7EA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E12E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7EA2"/>
    <w:rPr>
      <w:rFonts w:cs="Tahoma"/>
      <w:szCs w:val="18"/>
    </w:rPr>
  </w:style>
  <w:style w:type="character" w:customStyle="1" w:styleId="BalloonTextChar">
    <w:name w:val="Balloon Text Char"/>
    <w:link w:val="BalloonText"/>
    <w:uiPriority w:val="99"/>
    <w:rsid w:val="00937EA2"/>
    <w:rPr>
      <w:rFonts w:ascii="Palatino Linotype" w:hAnsi="Palatino Linotype" w:cs="Tahoma"/>
      <w:noProof/>
      <w:color w:val="000000"/>
      <w:szCs w:val="18"/>
    </w:rPr>
  </w:style>
  <w:style w:type="character" w:styleId="LineNumber">
    <w:name w:val="line number"/>
    <w:uiPriority w:val="99"/>
    <w:rsid w:val="000779E3"/>
    <w:rPr>
      <w:rFonts w:ascii="Palatino Linotype" w:hAnsi="Palatino Linotype"/>
      <w:sz w:val="16"/>
    </w:rPr>
  </w:style>
  <w:style w:type="table" w:customStyle="1" w:styleId="MDPI41threelinetable">
    <w:name w:val="MDPI_4.1_three_line_table"/>
    <w:basedOn w:val="TableNormal"/>
    <w:uiPriority w:val="99"/>
    <w:rsid w:val="00937EA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7EA2"/>
    <w:rPr>
      <w:color w:val="0000FF"/>
      <w:u w:val="single"/>
    </w:rPr>
  </w:style>
  <w:style w:type="character" w:styleId="UnresolvedMention">
    <w:name w:val="Unresolved Mention"/>
    <w:uiPriority w:val="99"/>
    <w:semiHidden/>
    <w:unhideWhenUsed/>
    <w:rsid w:val="007907E9"/>
    <w:rPr>
      <w:color w:val="605E5C"/>
      <w:shd w:val="clear" w:color="auto" w:fill="E1DFDD"/>
    </w:rPr>
  </w:style>
  <w:style w:type="table" w:styleId="PlainTable4">
    <w:name w:val="Plain Table 4"/>
    <w:basedOn w:val="TableNormal"/>
    <w:uiPriority w:val="44"/>
    <w:rsid w:val="0081267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937EA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937EA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7EA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937EA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7EA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7EA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F711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7EA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7EA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D47EF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7EA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7EA2"/>
  </w:style>
  <w:style w:type="paragraph" w:styleId="Bibliography">
    <w:name w:val="Bibliography"/>
    <w:basedOn w:val="Normal"/>
    <w:next w:val="Normal"/>
    <w:uiPriority w:val="37"/>
    <w:semiHidden/>
    <w:unhideWhenUsed/>
    <w:rsid w:val="00937EA2"/>
  </w:style>
  <w:style w:type="paragraph" w:styleId="BodyText">
    <w:name w:val="Body Text"/>
    <w:link w:val="BodyTextChar"/>
    <w:rsid w:val="00937EA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7EA2"/>
    <w:rPr>
      <w:rFonts w:ascii="Palatino Linotype" w:hAnsi="Palatino Linotype"/>
      <w:color w:val="000000"/>
      <w:sz w:val="24"/>
      <w:lang w:eastAsia="de-DE"/>
    </w:rPr>
  </w:style>
  <w:style w:type="character" w:styleId="CommentReference">
    <w:name w:val="annotation reference"/>
    <w:rsid w:val="00937EA2"/>
    <w:rPr>
      <w:sz w:val="21"/>
      <w:szCs w:val="21"/>
    </w:rPr>
  </w:style>
  <w:style w:type="paragraph" w:styleId="CommentText">
    <w:name w:val="annotation text"/>
    <w:basedOn w:val="Normal"/>
    <w:link w:val="CommentTextChar"/>
    <w:rsid w:val="00937EA2"/>
  </w:style>
  <w:style w:type="character" w:customStyle="1" w:styleId="CommentTextChar">
    <w:name w:val="Comment Text Char"/>
    <w:link w:val="CommentText"/>
    <w:rsid w:val="00937EA2"/>
    <w:rPr>
      <w:rFonts w:ascii="Palatino Linotype" w:hAnsi="Palatino Linotype"/>
      <w:noProof/>
      <w:color w:val="000000"/>
    </w:rPr>
  </w:style>
  <w:style w:type="paragraph" w:styleId="CommentSubject">
    <w:name w:val="annotation subject"/>
    <w:basedOn w:val="CommentText"/>
    <w:next w:val="CommentText"/>
    <w:link w:val="CommentSubjectChar"/>
    <w:rsid w:val="00937EA2"/>
    <w:rPr>
      <w:b/>
      <w:bCs/>
    </w:rPr>
  </w:style>
  <w:style w:type="character" w:customStyle="1" w:styleId="CommentSubjectChar">
    <w:name w:val="Comment Subject Char"/>
    <w:link w:val="CommentSubject"/>
    <w:rsid w:val="00937EA2"/>
    <w:rPr>
      <w:rFonts w:ascii="Palatino Linotype" w:hAnsi="Palatino Linotype"/>
      <w:b/>
      <w:bCs/>
      <w:noProof/>
      <w:color w:val="000000"/>
    </w:rPr>
  </w:style>
  <w:style w:type="character" w:styleId="EndnoteReference">
    <w:name w:val="endnote reference"/>
    <w:rsid w:val="00937EA2"/>
    <w:rPr>
      <w:vertAlign w:val="superscript"/>
    </w:rPr>
  </w:style>
  <w:style w:type="paragraph" w:styleId="EndnoteText">
    <w:name w:val="endnote text"/>
    <w:basedOn w:val="Normal"/>
    <w:link w:val="EndnoteTextChar"/>
    <w:semiHidden/>
    <w:unhideWhenUsed/>
    <w:rsid w:val="00937EA2"/>
    <w:pPr>
      <w:spacing w:line="240" w:lineRule="auto"/>
    </w:pPr>
  </w:style>
  <w:style w:type="character" w:customStyle="1" w:styleId="EndnoteTextChar">
    <w:name w:val="Endnote Text Char"/>
    <w:link w:val="EndnoteText"/>
    <w:semiHidden/>
    <w:rsid w:val="00937EA2"/>
    <w:rPr>
      <w:rFonts w:ascii="Palatino Linotype" w:hAnsi="Palatino Linotype"/>
      <w:noProof/>
      <w:color w:val="000000"/>
    </w:rPr>
  </w:style>
  <w:style w:type="character" w:styleId="FollowedHyperlink">
    <w:name w:val="FollowedHyperlink"/>
    <w:rsid w:val="00937EA2"/>
    <w:rPr>
      <w:color w:val="954F72"/>
      <w:u w:val="single"/>
    </w:rPr>
  </w:style>
  <w:style w:type="paragraph" w:styleId="FootnoteText">
    <w:name w:val="footnote text"/>
    <w:basedOn w:val="Normal"/>
    <w:link w:val="FootnoteTextChar"/>
    <w:semiHidden/>
    <w:unhideWhenUsed/>
    <w:rsid w:val="00937EA2"/>
    <w:pPr>
      <w:spacing w:line="240" w:lineRule="auto"/>
    </w:pPr>
  </w:style>
  <w:style w:type="character" w:customStyle="1" w:styleId="FootnoteTextChar">
    <w:name w:val="Footnote Text Char"/>
    <w:link w:val="FootnoteText"/>
    <w:semiHidden/>
    <w:rsid w:val="00937EA2"/>
    <w:rPr>
      <w:rFonts w:ascii="Palatino Linotype" w:hAnsi="Palatino Linotype"/>
      <w:noProof/>
      <w:color w:val="000000"/>
    </w:rPr>
  </w:style>
  <w:style w:type="paragraph" w:styleId="NormalWeb">
    <w:name w:val="Normal (Web)"/>
    <w:basedOn w:val="Normal"/>
    <w:uiPriority w:val="99"/>
    <w:rsid w:val="00937EA2"/>
    <w:rPr>
      <w:szCs w:val="24"/>
    </w:rPr>
  </w:style>
  <w:style w:type="paragraph" w:customStyle="1" w:styleId="MsoFootnoteText0">
    <w:name w:val="MsoFootnoteText"/>
    <w:basedOn w:val="NormalWeb"/>
    <w:qFormat/>
    <w:rsid w:val="00937EA2"/>
    <w:rPr>
      <w:rFonts w:ascii="Times New Roman" w:hAnsi="Times New Roman"/>
    </w:rPr>
  </w:style>
  <w:style w:type="character" w:styleId="PageNumber">
    <w:name w:val="page number"/>
    <w:rsid w:val="00937EA2"/>
  </w:style>
  <w:style w:type="character" w:styleId="PlaceholderText">
    <w:name w:val="Placeholder Text"/>
    <w:uiPriority w:val="99"/>
    <w:semiHidden/>
    <w:rsid w:val="00937EA2"/>
    <w:rPr>
      <w:color w:val="808080"/>
    </w:rPr>
  </w:style>
  <w:style w:type="paragraph" w:customStyle="1" w:styleId="MDPI71footnotes">
    <w:name w:val="MDPI_7.1_footnotes"/>
    <w:qFormat/>
    <w:rsid w:val="00E30840"/>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233DBF"/>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