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/>
          <w:b/>
          <w:sz w:val="28"/>
        </w:rPr>
        <w:t>Highlights</w:t>
      </w:r>
    </w:p>
    <w:p>
      <w:pPr>
        <w:pStyle w:val="ListBullet"/>
        <w:spacing w:after="160"/>
      </w:pPr>
      <w:r>
        <w:t>Drug-heldout fusion gains were split-sensitive across five seeds.</w:t>
      </w:r>
    </w:p>
    <w:p>
      <w:pPr>
        <w:pStyle w:val="ListBullet"/>
        <w:spacing w:after="160"/>
      </w:pPr>
      <w:r>
        <w:t>Fusion worsened performance in every leave-one-dataset-out fold.</w:t>
      </w:r>
    </w:p>
    <w:p>
      <w:pPr>
        <w:pStyle w:val="ListBullet"/>
        <w:spacing w:after="160"/>
      </w:pPr>
      <w:r>
        <w:t>Structured missingness varied across expression, copy number, and mutation.</w:t>
      </w:r>
    </w:p>
    <w:p>
      <w:pPr>
        <w:pStyle w:val="ListBullet"/>
        <w:spacing w:after="160"/>
      </w:pPr>
      <w:r>
        <w:t>Fold-local selection limits leakage in multimodal response benchmarks.</w:t>
      </w:r>
    </w:p>
    <w:p>
      <w:pPr>
        <w:pStyle w:val="ListBullet"/>
        <w:spacing w:after="160"/>
      </w:pPr>
      <w:r>
        <w:t>More omics did not guarantee better cross-study prediction.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