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[ADD EMAIL]</w:t>
      </w:r>
    </w:p>
    <w:p/>
    <w:p>
      <w:r>
        <w:rPr>
          <w:b/>
        </w:rPr>
        <w:t xml:space="preserve">Article type: </w:t>
      </w:r>
      <w:r>
        <w:t>Research article</w:t>
      </w:r>
    </w:p>
    <w:p>
      <w:r>
        <w:rPr>
          <w:b/>
        </w:rPr>
        <w:t xml:space="preserve">Declarations: </w:t>
      </w:r>
      <w:r>
        <w:t>Funding, competing interests, CRediT, and generative-AI declaration to be completed before submission.</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prespecified evaluation universe contained 15 compounds from GDSC1, GDSC2, and CTD². Models used fold-local feature selection and Ridge regression, with drug-held-out and leave-one-dataset-out validation. In drug-held-out validation, fusion improved RMSE on two of three repeated splits, with mean RMSE 0.2005 versus 0.2063 for expression alone. In cross-study validation, fusion degraded RMSE on all three held-out datasets: CTD2 0.5649 versus 0.3276, GDSC1 0.3101 versus 0.2585, and GDSC2 0.2870 versus 0.2291.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prespecified a workflow that treats incremental predictive value, missingness, calibration, and modality conflict as joint evaluation targets.</w:t>
      </w:r>
    </w:p>
    <w:p>
      <w:pPr>
        <w:pStyle w:val="Heading2"/>
        <w:keepNext/>
      </w:pPr>
      <w:r>
        <w:t>1.1. Brief literature context</w:t>
      </w:r>
    </w:p>
    <w:p>
      <w:pPr>
        <w:spacing w:after="120" w:line="259" w:lineRule="auto"/>
      </w:pPr>
      <w:r>
        <w:t>Large cell-line resources established the empirical basis for this task. The Cancer Cell Line Encyclopedia and the Genomics of Drug Sensitivity in Cancer linked molecular profiles to pharmacologic response across large panels, while later DepMap releases expanded standardized molecular and dependency data [1–3]. These resources also show why response prediction is not purely a genomic problem: lineage and multiple molecular data types contribute to drug sensitivity associations [2].</w:t>
      </w:r>
    </w:p>
    <w:p>
      <w:pPr>
        <w:spacing w:after="120" w:line="259" w:lineRule="auto"/>
      </w:pPr>
      <w:r>
        <w:t>Prior computational work has used classical machine learning, deep learning, and multimodal integration for drug-response prediction [4–6]. MOLI is a prominent late-integration example that combines expression, copy-number, and mutation features and reported gains in external validations [5]. However, published comparisons often differ in response metric, drug universe, feature processing, split design, and external-study transfer. The present study addresses a narrower methodological question: whether adding modalities improves a fixed, leakage-controlled baseline under drug-heldout and cross-study evaluation. It is intended as a validation benchmark, not as a competing deep-learning model.</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preregistered the following directional expectations for interpretation: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Three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was split-sensitive: fusion improved two of three seeds and worsened slightly on one. The mean RMSE difference was modest and should not be interpreted as a universal gain. Per-seed and per-model values are reported in Table 2 and Supplementary Table S3.</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0.3276</w:t>
            </w:r>
          </w:p>
        </w:tc>
        <w:tc>
          <w:tcPr>
            <w:tcW w:type="dxa" w:w="1958"/>
            <w:vAlign w:val="center"/>
          </w:tcPr>
          <w:p>
            <w:pPr>
              <w:spacing w:after="0"/>
            </w:pPr>
            <w:r/>
            <w:r>
              <w:rPr>
                <w:b w:val="0"/>
                <w:sz w:val="16"/>
              </w:rPr>
              <w:t>0.3575</w:t>
            </w:r>
          </w:p>
        </w:tc>
        <w:tc>
          <w:tcPr>
            <w:tcW w:type="dxa" w:w="1958"/>
            <w:vAlign w:val="center"/>
          </w:tcPr>
          <w:p>
            <w:pPr>
              <w:spacing w:after="0"/>
            </w:pPr>
            <w:r/>
            <w:r>
              <w:rPr>
                <w:b w:val="0"/>
                <w:sz w:val="16"/>
              </w:rPr>
              <w:t>0.4048</w:t>
            </w:r>
          </w:p>
        </w:tc>
        <w:tc>
          <w:tcPr>
            <w:tcW w:type="dxa" w:w="1958"/>
            <w:vAlign w:val="center"/>
          </w:tcPr>
          <w:p>
            <w:pPr>
              <w:spacing w:after="0"/>
            </w:pPr>
            <w:r/>
            <w:r>
              <w:rPr>
                <w:b w:val="0"/>
                <w:sz w:val="16"/>
              </w:rPr>
              <w:t>0.5649</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0.2585</w:t>
            </w:r>
          </w:p>
        </w:tc>
        <w:tc>
          <w:tcPr>
            <w:tcW w:type="dxa" w:w="1958"/>
            <w:vAlign w:val="center"/>
          </w:tcPr>
          <w:p>
            <w:pPr>
              <w:spacing w:after="0"/>
            </w:pPr>
            <w:r/>
            <w:r>
              <w:rPr>
                <w:b w:val="0"/>
                <w:sz w:val="16"/>
              </w:rPr>
              <w:t>0.4121</w:t>
            </w:r>
          </w:p>
        </w:tc>
        <w:tc>
          <w:tcPr>
            <w:tcW w:type="dxa" w:w="1958"/>
            <w:vAlign w:val="center"/>
          </w:tcPr>
          <w:p>
            <w:pPr>
              <w:spacing w:after="0"/>
            </w:pPr>
            <w:r/>
            <w:r>
              <w:rPr>
                <w:b w:val="0"/>
                <w:sz w:val="16"/>
              </w:rPr>
              <w:t>0.5062</w:t>
            </w:r>
          </w:p>
        </w:tc>
        <w:tc>
          <w:tcPr>
            <w:tcW w:type="dxa" w:w="1958"/>
            <w:vAlign w:val="center"/>
          </w:tcPr>
          <w:p>
            <w:pPr>
              <w:spacing w:after="0"/>
            </w:pPr>
            <w:r/>
            <w:r>
              <w:rPr>
                <w:b w:val="0"/>
                <w:sz w:val="16"/>
              </w:rPr>
              <w:t>0.3101</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0.2291</w:t>
            </w:r>
          </w:p>
        </w:tc>
        <w:tc>
          <w:tcPr>
            <w:tcW w:type="dxa" w:w="1958"/>
            <w:vAlign w:val="center"/>
          </w:tcPr>
          <w:p>
            <w:pPr>
              <w:spacing w:after="0"/>
            </w:pPr>
            <w:r/>
            <w:r>
              <w:rPr>
                <w:b w:val="0"/>
                <w:sz w:val="16"/>
              </w:rPr>
              <w:t>0.4935</w:t>
            </w:r>
          </w:p>
        </w:tc>
        <w:tc>
          <w:tcPr>
            <w:tcW w:type="dxa" w:w="1958"/>
            <w:vAlign w:val="center"/>
          </w:tcPr>
          <w:p>
            <w:pPr>
              <w:spacing w:after="0"/>
            </w:pPr>
            <w:r/>
            <w:r>
              <w:rPr>
                <w:b w:val="0"/>
                <w:sz w:val="16"/>
              </w:rPr>
              <w:t>0.6469</w:t>
            </w:r>
          </w:p>
        </w:tc>
        <w:tc>
          <w:tcPr>
            <w:tcW w:type="dxa" w:w="1958"/>
            <w:vAlign w:val="center"/>
          </w:tcPr>
          <w:p>
            <w:pPr>
              <w:spacing w:after="0"/>
            </w:pPr>
            <w:r/>
            <w:r>
              <w:rPr>
                <w:b w:val="0"/>
                <w:sz w:val="16"/>
              </w:rPr>
              <w:t>0.2870</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0.1481</w:t>
            </w:r>
          </w:p>
        </w:tc>
        <w:tc>
          <w:tcPr>
            <w:tcW w:type="dxa" w:w="2448"/>
            <w:vAlign w:val="center"/>
          </w:tcPr>
          <w:p>
            <w:pPr>
              <w:spacing w:after="0"/>
            </w:pPr>
            <w:r/>
            <w:r>
              <w:rPr>
                <w:b w:val="0"/>
                <w:sz w:val="16"/>
              </w:rPr>
              <w:t>0.1326</w:t>
            </w:r>
          </w:p>
        </w:tc>
        <w:tc>
          <w:tcPr>
            <w:tcW w:type="dxa" w:w="2448"/>
            <w:vAlign w:val="center"/>
          </w:tcPr>
          <w:p>
            <w:pPr>
              <w:spacing w:after="0"/>
            </w:pPr>
            <w:r/>
            <w:r>
              <w:rPr>
                <w:b w:val="0"/>
                <w:sz w:val="16"/>
              </w:rPr>
              <w:t>-0.0155</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0.2174</w:t>
            </w:r>
          </w:p>
        </w:tc>
        <w:tc>
          <w:tcPr>
            <w:tcW w:type="dxa" w:w="2448"/>
            <w:vAlign w:val="center"/>
          </w:tcPr>
          <w:p>
            <w:pPr>
              <w:spacing w:after="0"/>
            </w:pPr>
            <w:r/>
            <w:r>
              <w:rPr>
                <w:b w:val="0"/>
                <w:sz w:val="16"/>
              </w:rPr>
              <w:t>0.2148</w:t>
            </w:r>
          </w:p>
        </w:tc>
        <w:tc>
          <w:tcPr>
            <w:tcW w:type="dxa" w:w="2448"/>
            <w:vAlign w:val="center"/>
          </w:tcPr>
          <w:p>
            <w:pPr>
              <w:spacing w:after="0"/>
            </w:pPr>
            <w:r/>
            <w:r>
              <w:rPr>
                <w:b w:val="0"/>
                <w:sz w:val="16"/>
              </w:rPr>
              <w:t>-0.0026</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0.2535</w:t>
            </w:r>
          </w:p>
        </w:tc>
        <w:tc>
          <w:tcPr>
            <w:tcW w:type="dxa" w:w="2448"/>
            <w:vAlign w:val="center"/>
          </w:tcPr>
          <w:p>
            <w:pPr>
              <w:spacing w:after="0"/>
            </w:pPr>
            <w:r/>
            <w:r>
              <w:rPr>
                <w:b w:val="0"/>
                <w:sz w:val="16"/>
              </w:rPr>
              <w:t>0.2542</w:t>
            </w:r>
          </w:p>
        </w:tc>
        <w:tc>
          <w:tcPr>
            <w:tcW w:type="dxa" w:w="2448"/>
            <w:vAlign w:val="center"/>
          </w:tcPr>
          <w:p>
            <w:pPr>
              <w:spacing w:after="0"/>
            </w:pPr>
            <w:r/>
            <w:r>
              <w:rPr>
                <w:b w:val="0"/>
                <w:sz w:val="16"/>
              </w:rPr>
              <w:t>+0.0007</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0.1179</w:t>
            </w:r>
          </w:p>
        </w:tc>
        <w:tc>
          <w:tcPr>
            <w:tcW w:type="dxa" w:w="1958"/>
            <w:vAlign w:val="center"/>
          </w:tcPr>
          <w:p>
            <w:pPr>
              <w:spacing w:after="0"/>
            </w:pPr>
            <w:r/>
            <w:r>
              <w:rPr>
                <w:b w:val="0"/>
                <w:sz w:val="16"/>
              </w:rPr>
              <w:t>0.1481</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0.1277</w:t>
            </w:r>
          </w:p>
        </w:tc>
        <w:tc>
          <w:tcPr>
            <w:tcW w:type="dxa" w:w="1958"/>
            <w:vAlign w:val="center"/>
          </w:tcPr>
          <w:p>
            <w:pPr>
              <w:spacing w:after="0"/>
            </w:pPr>
            <w:r/>
            <w:r>
              <w:rPr>
                <w:b w:val="0"/>
                <w:sz w:val="16"/>
              </w:rPr>
              <w:t>0.1593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0.1146</w:t>
            </w:r>
          </w:p>
        </w:tc>
        <w:tc>
          <w:tcPr>
            <w:tcW w:type="dxa" w:w="1958"/>
            <w:vAlign w:val="center"/>
          </w:tcPr>
          <w:p>
            <w:pPr>
              <w:spacing w:after="0"/>
            </w:pPr>
            <w:r/>
            <w:r>
              <w:rPr>
                <w:b w:val="0"/>
                <w:sz w:val="16"/>
              </w:rPr>
              <w:t>0.1435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0.1047</w:t>
            </w:r>
          </w:p>
        </w:tc>
        <w:tc>
          <w:tcPr>
            <w:tcW w:type="dxa" w:w="1958"/>
            <w:vAlign w:val="center"/>
          </w:tcPr>
          <w:p>
            <w:pPr>
              <w:spacing w:after="0"/>
            </w:pPr>
            <w:r/>
            <w:r>
              <w:rPr>
                <w:b w:val="0"/>
                <w:sz w:val="16"/>
              </w:rPr>
              <w:t>0.1326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0.1865</w:t>
            </w:r>
          </w:p>
        </w:tc>
        <w:tc>
          <w:tcPr>
            <w:tcW w:type="dxa" w:w="1958"/>
            <w:vAlign w:val="center"/>
          </w:tcPr>
          <w:p>
            <w:pPr>
              <w:spacing w:after="0"/>
            </w:pPr>
            <w:r/>
            <w:r>
              <w:rPr>
                <w:b w:val="0"/>
                <w:sz w:val="16"/>
              </w:rPr>
              <w:t>0.2174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0.2015</w:t>
            </w:r>
          </w:p>
        </w:tc>
        <w:tc>
          <w:tcPr>
            <w:tcW w:type="dxa" w:w="1958"/>
            <w:vAlign w:val="center"/>
          </w:tcPr>
          <w:p>
            <w:pPr>
              <w:spacing w:after="0"/>
            </w:pPr>
            <w:r/>
            <w:r>
              <w:rPr>
                <w:b w:val="0"/>
                <w:sz w:val="16"/>
              </w:rPr>
              <w:t>0.2333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0.1897</w:t>
            </w:r>
          </w:p>
        </w:tc>
        <w:tc>
          <w:tcPr>
            <w:tcW w:type="dxa" w:w="1958"/>
            <w:vAlign w:val="center"/>
          </w:tcPr>
          <w:p>
            <w:pPr>
              <w:spacing w:after="0"/>
            </w:pPr>
            <w:r/>
            <w:r>
              <w:rPr>
                <w:b w:val="0"/>
                <w:sz w:val="16"/>
              </w:rPr>
              <w:t>0.2241</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0.1786</w:t>
            </w:r>
          </w:p>
        </w:tc>
        <w:tc>
          <w:tcPr>
            <w:tcW w:type="dxa" w:w="1958"/>
            <w:vAlign w:val="center"/>
          </w:tcPr>
          <w:p>
            <w:pPr>
              <w:spacing w:after="0"/>
            </w:pPr>
            <w:r/>
            <w:r>
              <w:rPr>
                <w:b w:val="0"/>
                <w:sz w:val="16"/>
              </w:rPr>
              <w:t>0.2148</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0.2001</w:t>
            </w:r>
          </w:p>
        </w:tc>
        <w:tc>
          <w:tcPr>
            <w:tcW w:type="dxa" w:w="1958"/>
            <w:vAlign w:val="center"/>
          </w:tcPr>
          <w:p>
            <w:pPr>
              <w:spacing w:after="0"/>
            </w:pPr>
            <w:r/>
            <w:r>
              <w:rPr>
                <w:b w:val="0"/>
                <w:sz w:val="16"/>
              </w:rPr>
              <w:t>0.2535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0.1985</w:t>
            </w:r>
          </w:p>
        </w:tc>
        <w:tc>
          <w:tcPr>
            <w:tcW w:type="dxa" w:w="1958"/>
            <w:vAlign w:val="center"/>
          </w:tcPr>
          <w:p>
            <w:pPr>
              <w:spacing w:after="0"/>
            </w:pPr>
            <w:r/>
            <w:r>
              <w:rPr>
                <w:b w:val="0"/>
                <w:sz w:val="16"/>
              </w:rPr>
              <w:t>0.2477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0.1928</w:t>
            </w:r>
          </w:p>
        </w:tc>
        <w:tc>
          <w:tcPr>
            <w:tcW w:type="dxa" w:w="1958"/>
            <w:vAlign w:val="center"/>
          </w:tcPr>
          <w:p>
            <w:pPr>
              <w:spacing w:after="0"/>
            </w:pPr>
            <w:r/>
            <w:r>
              <w:rPr>
                <w:b w:val="0"/>
                <w:sz w:val="16"/>
              </w:rPr>
              <w:t>0.2446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0.1984</w:t>
            </w:r>
          </w:p>
        </w:tc>
        <w:tc>
          <w:tcPr>
            <w:tcW w:type="dxa" w:w="1958"/>
            <w:vAlign w:val="center"/>
          </w:tcPr>
          <w:p>
            <w:pPr>
              <w:spacing w:after="0"/>
            </w:pPr>
            <w:r/>
            <w:r>
              <w:rPr>
                <w:b w:val="0"/>
                <w:sz w:val="16"/>
              </w:rPr>
              <w:t>0.2542</w:t>
            </w:r>
          </w:p>
        </w:tc>
        <w:tc>
          <w:tcPr>
            <w:tcW w:type="dxa" w:w="1958"/>
            <w:vAlign w:val="center"/>
          </w:tcPr>
          <w:p>
            <w:pPr>
              <w:spacing w:after="0"/>
            </w:pPr>
            <w:r/>
            <w:r>
              <w:rPr>
                <w:b w:val="0"/>
                <w:sz w:val="16"/>
              </w:rPr>
              <w:t>6000</w:t>
            </w:r>
          </w:p>
        </w:tc>
      </w:tr>
    </w:tbl>
    <w:p>
      <w:pPr>
        <w:spacing w:after="40"/>
      </w:pP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0.2793</w:t>
            </w:r>
          </w:p>
        </w:tc>
        <w:tc>
          <w:tcPr>
            <w:tcW w:type="dxa" w:w="1632"/>
            <w:vAlign w:val="center"/>
          </w:tcPr>
          <w:p>
            <w:pPr>
              <w:spacing w:after="0"/>
            </w:pPr>
            <w:r/>
            <w:r>
              <w:rPr>
                <w:b w:val="0"/>
                <w:sz w:val="16"/>
              </w:rPr>
              <w:t>0.3276</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0.2964</w:t>
            </w:r>
          </w:p>
        </w:tc>
        <w:tc>
          <w:tcPr>
            <w:tcW w:type="dxa" w:w="1632"/>
            <w:vAlign w:val="center"/>
          </w:tcPr>
          <w:p>
            <w:pPr>
              <w:spacing w:after="0"/>
            </w:pPr>
            <w:r/>
            <w:r>
              <w:rPr>
                <w:b w:val="0"/>
                <w:sz w:val="16"/>
              </w:rPr>
              <w:t>0.3575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0.3150</w:t>
            </w:r>
          </w:p>
        </w:tc>
        <w:tc>
          <w:tcPr>
            <w:tcW w:type="dxa" w:w="1632"/>
            <w:vAlign w:val="center"/>
          </w:tcPr>
          <w:p>
            <w:pPr>
              <w:spacing w:after="0"/>
            </w:pPr>
            <w:r/>
            <w:r>
              <w:rPr>
                <w:b w:val="0"/>
                <w:sz w:val="16"/>
              </w:rPr>
              <w:t>0.4048</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0.4306</w:t>
            </w:r>
          </w:p>
        </w:tc>
        <w:tc>
          <w:tcPr>
            <w:tcW w:type="dxa" w:w="1632"/>
            <w:vAlign w:val="center"/>
          </w:tcPr>
          <w:p>
            <w:pPr>
              <w:spacing w:after="0"/>
            </w:pPr>
            <w:r/>
            <w:r>
              <w:rPr>
                <w:b w:val="0"/>
                <w:sz w:val="16"/>
              </w:rPr>
              <w:t>0.5649</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0.2140</w:t>
            </w:r>
          </w:p>
        </w:tc>
        <w:tc>
          <w:tcPr>
            <w:tcW w:type="dxa" w:w="1632"/>
            <w:vAlign w:val="center"/>
          </w:tcPr>
          <w:p>
            <w:pPr>
              <w:spacing w:after="0"/>
            </w:pPr>
            <w:r/>
            <w:r>
              <w:rPr>
                <w:b w:val="0"/>
                <w:sz w:val="16"/>
              </w:rPr>
              <w:t>0.2585</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0.2846</w:t>
            </w:r>
          </w:p>
        </w:tc>
        <w:tc>
          <w:tcPr>
            <w:tcW w:type="dxa" w:w="1632"/>
            <w:vAlign w:val="center"/>
          </w:tcPr>
          <w:p>
            <w:pPr>
              <w:spacing w:after="0"/>
            </w:pPr>
            <w:r/>
            <w:r>
              <w:rPr>
                <w:b w:val="0"/>
                <w:sz w:val="16"/>
              </w:rPr>
              <w:t>0.4121</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0.3340</w:t>
            </w:r>
          </w:p>
        </w:tc>
        <w:tc>
          <w:tcPr>
            <w:tcW w:type="dxa" w:w="1632"/>
            <w:vAlign w:val="center"/>
          </w:tcPr>
          <w:p>
            <w:pPr>
              <w:spacing w:after="0"/>
            </w:pPr>
            <w:r/>
            <w:r>
              <w:rPr>
                <w:b w:val="0"/>
                <w:sz w:val="16"/>
              </w:rPr>
              <w:t>0.5062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0.2503</w:t>
            </w:r>
          </w:p>
        </w:tc>
        <w:tc>
          <w:tcPr>
            <w:tcW w:type="dxa" w:w="1632"/>
            <w:vAlign w:val="center"/>
          </w:tcPr>
          <w:p>
            <w:pPr>
              <w:spacing w:after="0"/>
            </w:pPr>
            <w:r/>
            <w:r>
              <w:rPr>
                <w:b w:val="0"/>
                <w:sz w:val="16"/>
              </w:rPr>
              <w:t>0.3101</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0.1909</w:t>
            </w:r>
          </w:p>
        </w:tc>
        <w:tc>
          <w:tcPr>
            <w:tcW w:type="dxa" w:w="1632"/>
            <w:vAlign w:val="center"/>
          </w:tcPr>
          <w:p>
            <w:pPr>
              <w:spacing w:after="0"/>
            </w:pPr>
            <w:r/>
            <w:r>
              <w:rPr>
                <w:b w:val="0"/>
                <w:sz w:val="16"/>
              </w:rPr>
              <w:t>0.2291</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0.3432</w:t>
            </w:r>
          </w:p>
        </w:tc>
        <w:tc>
          <w:tcPr>
            <w:tcW w:type="dxa" w:w="1632"/>
            <w:vAlign w:val="center"/>
          </w:tcPr>
          <w:p>
            <w:pPr>
              <w:spacing w:after="0"/>
            </w:pPr>
            <w:r/>
            <w:r>
              <w:rPr>
                <w:b w:val="0"/>
                <w:sz w:val="16"/>
              </w:rPr>
              <w:t>0.4935</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0.3973</w:t>
            </w:r>
          </w:p>
        </w:tc>
        <w:tc>
          <w:tcPr>
            <w:tcW w:type="dxa" w:w="1632"/>
            <w:vAlign w:val="center"/>
          </w:tcPr>
          <w:p>
            <w:pPr>
              <w:spacing w:after="0"/>
            </w:pPr>
            <w:r/>
            <w:r>
              <w:rPr>
                <w:b w:val="0"/>
                <w:sz w:val="16"/>
              </w:rPr>
              <w:t>0.6469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0.2306</w:t>
            </w:r>
          </w:p>
        </w:tc>
        <w:tc>
          <w:tcPr>
            <w:tcW w:type="dxa" w:w="1632"/>
            <w:vAlign w:val="center"/>
          </w:tcPr>
          <w:p>
            <w:pPr>
              <w:spacing w:after="0"/>
            </w:pPr>
            <w:r/>
            <w:r>
              <w:rPr>
                <w:b w:val="0"/>
                <w:sz w:val="16"/>
              </w:rPr>
              <w:t>0.2870</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The study is limited by the small prespecified 15-drug universe, limited same-drug overlap across datasets, and the use of compact Ridge baselines rather than a broad model class. The conclusions are therefore about evaluation design and conditional predictive value, not a claim that any modality is biologically uninformative.</w:t>
      </w:r>
    </w:p>
    <w:p>
      <w:pPr>
        <w:spacing w:after="120" w:line="259" w:lineRule="auto"/>
      </w:pPr>
      <w:r>
        <w:t>H1 was partially supported: fusion improved two of three drug-heldout seeds, but the effect was small and split-sensitive.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fusion failures alongside gains and for treating cross-study validation as a separate target from within-dataset drug generalization.</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The improvement is small relative to the seed-to-seed variation, and two favorable splits do not establish a stable effect across an expanded compound universe. We therefore describe this result as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three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2/3 drug-heldout seeds</w:t>
            </w:r>
          </w:p>
        </w:tc>
        <w:tc>
          <w:tcPr>
            <w:tcW w:type="dxa" w:w="3264"/>
            <w:vAlign w:val="center"/>
          </w:tcPr>
          <w:p>
            <w:pPr>
              <w:spacing w:after="0"/>
            </w:pPr>
            <w:r/>
            <w:r>
              <w:rPr>
                <w:b w:val="0"/>
                <w:sz w:val="16"/>
              </w:rPr>
              <w:t>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