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Response to Reviewers</w:t>
      </w:r>
    </w:p>
    <w:p>
      <w:pPr>
        <w:jc w:val="center"/>
      </w:pPr>
      <w:r>
        <w:rPr>
          <w:b/>
        </w:rPr>
        <w:t>Journal of Pharmaceutical and BioTech Industry</w:t>
        <w:br/>
        <w:t>Manuscript ID: jpbi-4567094</w:t>
        <w:br/>
      </w:r>
      <w:r>
        <w:t>Title: Multimodal Cancer Drug-Response Prediction Shows Small, Validation-Dependent Gains in a 15-Compound DepMap Benchmark</w:t>
      </w:r>
    </w:p>
    <w:p>
      <w:r>
        <w:t>Dear Editor and Reviewers,</w:t>
      </w:r>
    </w:p>
    <w:p>
      <w:r>
        <w:t>I thank the editor and reviewers for their careful and constructive assessment. We revised the manuscript toward a narrower and more reproducible claim. The study is now explicitly framed as a fixed Ridge early-fusion benchmark using cell-line molecular features, not as a general drug-aware prediction framework. We clarified dataset and mutation provenance, softened LOOD interpretation, expanded uncertainty and compound-level reporting, simplified the main figures, and strengthened the reproducibility statement. The code and derived artifacts are now publicly archived at https://doi.org/10.5281/zenodo.23054361.</w:t>
      </w:r>
    </w:p>
    <w:p>
      <w:r>
        <w:t>Line references below refer to the accompanying line-numbered clean-manuscript file, jpbi_clean_manuscript_line_numbered.txt. Table and figure numbers refer to the revised clean manuscript. The marked version uses blue underlining for added or substantially revised paragraphs; the clean manuscript is the authoritative version.</w:t>
      </w:r>
    </w:p>
    <w:p>
      <w:pPr>
        <w:pStyle w:val="Heading1"/>
      </w:pPr>
      <w:r>
        <w:t>Reviewer 1</w:t>
      </w:r>
    </w:p>
    <w:p>
      <w:pPr>
        <w:pStyle w:val="Heading2"/>
      </w:pPr>
      <w:r>
        <w:t>Comment 1: Dataset description and response-scale comparability</w:t>
      </w:r>
    </w:p>
    <w:p>
      <w:r>
        <w:rPr>
          <w:b/>
        </w:rPr>
        <w:t xml:space="preserve">Reviewer comment: </w:t>
      </w:r>
      <w:r>
        <w:t>The datasets are insufficiently described. Please report the AUC distributions, scales, sample sizes, feature numbers, and missingness patterns for each dataset. Because response scales differ across GDSC1, GDSC2, and CTD², RMSE values are not directly comparable.</w:t>
      </w:r>
    </w:p>
    <w:p>
      <w:r>
        <w:t>Response: I added a dataset-characterization table reporting the selected compounds, response rows, unique cell lines, AUC minimum, quartiles, median, maximum, raw feature counts, and modality coverage for GDSC1, GDSC2, and CTD². I now state that source-specific response values are retained without cross-dataset rescaling and that RMSE and MAE are interpreted within dataset and validation fold, not used to rank cross-dataset difficulty. See clean manuscript lines 35-43 and Table 1. I also separated the tables from the manuscript file for submission and retained the machine-readable dataset-characterization artifact in the public release. This makes the response-scale limitation explicit rather than implying that a pooled RMSE compares assay systems on a common scale.</w:t>
      </w:r>
    </w:p>
    <w:p>
      <w:pPr>
        <w:pStyle w:val="Heading2"/>
      </w:pPr>
      <w:r>
        <w:t>Comment 2: LOOD confounding</w:t>
      </w:r>
    </w:p>
    <w:p>
      <w:r>
        <w:rPr>
          <w:b/>
        </w:rPr>
        <w:t xml:space="preserve">Reviewer comment: </w:t>
      </w:r>
      <w:r>
        <w:t>The leave-one-dataset-out analysis is confounded by simultaneous differences in dataset source, drugs, cell lines, assay protocols, and response scales. Therefore, poorer fusion performance cannot be attributed solely to multimodal integration.</w:t>
      </w:r>
    </w:p>
    <w:p>
      <w:r>
        <w:t>Response: I agree. The LOOD interpretation now states that source, compounds, cell lines, assay procedures, response construction, response scale, and modality availability change simultaneously. LOOD is described as a portability stress test of the complete pipeline, not as a causal test of multimodal integration. See lines 75-82 and lines 112-119. The revised text therefore treats the LOOD result as evidence about transfer of the complete data and modeling pipeline. It does not identify multimodal integration as the cause of any degradation, and I removed wording that could be read as a causal attribution.</w:t>
      </w:r>
    </w:p>
    <w:p>
      <w:pPr>
        <w:pStyle w:val="Heading2"/>
      </w:pPr>
      <w:r>
        <w:t>Comment 3: Modeling pipeline details and unseen drugs</w:t>
      </w:r>
    </w:p>
    <w:p>
      <w:r>
        <w:rPr>
          <w:b/>
        </w:rPr>
        <w:t xml:space="preserve">Reviewer comment: </w:t>
      </w:r>
      <w:r>
        <w:t>The modeling pipeline needs clearer details, including compound selection, cell-line matching, mutation encoding, feature selection, imputation, and parameter choice. The authors should also explain how predictions for unseen drugs are possible without drug-related features.</w:t>
      </w:r>
    </w:p>
    <w:p>
      <w:r>
        <w:t>Response: I expanded the Methods to describe compound inclusion, depmap_id matching, provider-supplied damaging-mutation encoding, fold-local variance selection, training-fold median imputation, training-fold standardization, and fixed Ridge alpha=1.0. I also state that the model has no drug identity, structure, target, dose, or mechanism features; therefore the drug-held-out analysis is a limited transfer stress test within the declared universe, not arbitrary unseen-drug prediction. See lines 45-68. The revised Methods also state how rows were joined, how unmatched cell lines were handled, which operations were fit only on training rows, and why alpha was fixed. I added the absence of drug descriptors as a design limitation rather than presenting the analysis as conventional prediction for a chemically novel compound.</w:t>
      </w:r>
    </w:p>
    <w:p>
      <w:pPr>
        <w:pStyle w:val="Heading2"/>
      </w:pPr>
      <w:r>
        <w:t>Comment 4: Figures, tables, and metric interpretation</w:t>
      </w:r>
    </w:p>
    <w:p>
      <w:r>
        <w:rPr>
          <w:b/>
        </w:rPr>
        <w:t xml:space="preserve">Reviewer comment: </w:t>
      </w:r>
      <w:r>
        <w:t>The presentation of figures and tables is disorganized and insufficiently integrated into the main narrative. Several displays are redundant or confusingly arranged, for example Figures 1–3, and some are not adequately introduced or discussed in the main text. The reported metrics receive only limited interpretation, making it difficult to connect the results to the central research questions, Q1–Q3, the validation design, and the study’s conclusions.</w:t>
      </w:r>
    </w:p>
    <w:p>
      <w:r>
        <w:t>Response: I reorganized the display logic around the estimands. The main figures now provide a compact LOOD summary, a fusion-minus-expression/conflict view, and a modality-availability diagnostic. Redundant modality-resolved and fold-level figures are retained individually as supplementary outputs rather than repeated in the main sequence. A dedicated Q1-Q3 interpretation subsection links each metric to its validation design. See lines 90-111 and Figures 1-3. I also corrected the figure numbering and supplied each main figure as an individual PNG file. The manuscript references the displays in the order Figure 1 decision framework, Figure 2 transfer overview, Figure 3 fusion contrast and conflict, and Figure 4 availability; tables are supplied separately as a Word file.</w:t>
      </w:r>
    </w:p>
    <w:p>
      <w:pPr>
        <w:pStyle w:val="Heading2"/>
      </w:pPr>
      <w:r>
        <w:t>Core reproducibility requirements</w:t>
      </w:r>
    </w:p>
    <w:p>
      <w:r>
        <w:t>Response: I added an executable workflow description, cross-dataset alignment rules, release identifiers, environment specification, repository URL, split and feature-manifest inventory, and regeneration scripts. The repository is https://github.com/camontefusco/more-omics-is-not-always-better. Raw provider files remain subject to their access terms. See lines 121-133. The final public archive is now available at https://doi.org/10.5281/zenodo.23054361 and is linked to GitHub release v1.0.1-jpbi-zenodo. The release is immutable and includes the final code, tests, manifests, frozen results, figures, manuscript files, and environment specification; provider data remain excluded.</w:t>
      </w:r>
    </w:p>
    <w:p>
      <w:pPr>
        <w:pStyle w:val="Heading1"/>
      </w:pPr>
      <w:r>
        <w:t>Reviewer 2</w:t>
      </w:r>
    </w:p>
    <w:p>
      <w:pPr>
        <w:pStyle w:val="Heading2"/>
      </w:pPr>
      <w:r>
        <w:t>Comment 1: Clarify the knowledge gap</w:t>
      </w:r>
    </w:p>
    <w:p>
      <w:r>
        <w:rPr>
          <w:b/>
        </w:rPr>
        <w:t xml:space="preserve">Reviewer comment: </w:t>
      </w:r>
      <w:r>
        <w:t>The Introduction provides a good rationale for the study, but the specific knowledge gap could be stated more clearly. I would suggest giving a more focused overview of previous studies addressing whether mutation and copy-number data actually improve prediction beyond expression-only models, particularly in external or cross-dataset validation. This would make it easier to see what this study adds to the existing literature.</w:t>
      </w:r>
    </w:p>
    <w:p>
      <w:r>
        <w:t>Response: I added a focused Introduction paragraph reviewing expression-only baselines, multimodal studies such as MOLI and DrugCell, and the uncertainty about whether mutation and copy-number add stable value beyond expression under external or cross-dataset validation. I explain how feature budgets, learners, response definitions, and split units limit direct comparison. See lines 16-24. I then state the narrower contribution: a controlled comparison of one expression-only baseline and one early-fusion Ridge construction under grouped drug-held-out and source-held-out evaluation. I do not claim to resolve the broader literature question for all learners, drug-aware models, or datasets.</w:t>
      </w:r>
    </w:p>
    <w:p>
      <w:pPr>
        <w:pStyle w:val="Heading2"/>
      </w:pPr>
      <w:r>
        <w:t>Comment 2: Compound-selection criteria</w:t>
      </w:r>
    </w:p>
    <w:p>
      <w:r>
        <w:rPr>
          <w:b/>
        </w:rPr>
        <w:t xml:space="preserve">Reviewer comment: </w:t>
      </w:r>
      <w:r>
        <w:t>The Methods are generally clear, but I believe that several choices need more explanation. It is not clear how the 15 compounds were selected. Since all subsequent analyses are based on this relatively small set, the selection criteria should be explicitly described.</w:t>
      </w:r>
    </w:p>
    <w:p>
      <w:r>
        <w:t>Response: I state that the benchmark used a predeclared source-balanced subset of five compounds per source. Inclusion required exact source identifiers, sufficient response records, and consistent cell-line/molecular matching; compounds absent or inconsistently matched were excluded, and no selection was changed after performance inspection. I also compare the subset with the broader source-level drug counts and state that it is not representative of the full drug universe. See lines 42-44 and Supplementary Table S1. I now identify the exact source-balanced design as a pragmatic benchmark construction rather than a random sample of available compounds. The manuscript reports the resulting coverage and explicitly warns that the 15-compound universe limits external generalization.</w:t>
      </w:r>
    </w:p>
    <w:p>
      <w:pPr>
        <w:pStyle w:val="Heading2"/>
      </w:pPr>
      <w:r>
        <w:t>Comment 3: Damaging-mutation matrix</w:t>
      </w:r>
    </w:p>
    <w:p>
      <w:r>
        <w:rPr>
          <w:b/>
        </w:rPr>
        <w:t xml:space="preserve">Reviewer comment: </w:t>
      </w:r>
      <w:r>
        <w:t>More detail is needed on how the damaging-mutation matrix was generated, including which variants were included, how they were classified and encoded, and how missing mutation data were handled.</w:t>
      </w:r>
    </w:p>
    <w:p>
      <w:r>
        <w:t>Response: I clarify that the matrix was taken from DepMap Public 26Q1, “Damaging Mutations (Public 26Q1),” rather than reconstructed from raw variant calls. Gene-level columns and source-defined damaging classifications were retained; missing values were not treated as benign, and remaining missing selected values were imputed only with training-fold medians. No variant reclassification or new pathogenicity model was performed. See lines 50-54. This distinction prevents the analysis from silently converting unknown mutation status into a negative mutation call. The same rule is applied consistently across modalities and folds, and the supplementary material records the provenance and missingness handling.</w:t>
      </w:r>
    </w:p>
    <w:p>
      <w:pPr>
        <w:pStyle w:val="Heading2"/>
      </w:pPr>
      <w:r>
        <w:t>Comment 4: Complete leave-one-drug-out analysis</w:t>
      </w:r>
    </w:p>
    <w:p>
      <w:r>
        <w:rPr>
          <w:b/>
        </w:rPr>
        <w:t xml:space="preserve">Reviewer comment: </w:t>
      </w:r>
      <w:r>
        <w:t>The drug-held-out analysis could also be more systematic. Only eight of the 15 compounds appear in the held-out sets across the five splits. Given the small number of compounds, a leave-one-drug-out analysis across all 15 could provide a clearer view of model performance for individual drugs and different mechanisms of action.</w:t>
      </w:r>
    </w:p>
    <w:p>
      <w:r>
        <w:t>Response: I clarified that the five grouped splits cover eight unique compounds and are not a complete 15-drug leave-one-out design. The existing per-drug audit is explicitly descriptive. Complete leave-one-drug-out validation across all 15 compounds, with reliable mechanism strata, is identified as future work rather than implied to have been performed. See lines 67-70 and 115-119. I retained the existing five split manifests because they are the prespecified benchmark actually analyzed, but I no longer describe them as exhaustive leave-one-drug-out validation. I state that a complete 15-drug design would be a stronger future analysis and would require a separate frozen manifest.</w:t>
      </w:r>
    </w:p>
    <w:p>
      <w:pPr>
        <w:pStyle w:val="Heading2"/>
      </w:pPr>
      <w:r>
        <w:t>Comment 5: Individual drug effects and variability</w:t>
      </w:r>
    </w:p>
    <w:p>
      <w:r>
        <w:rPr>
          <w:b/>
        </w:rPr>
        <w:t xml:space="preserve">Reviewer comment: </w:t>
      </w:r>
      <w:r>
        <w:t>The differences between fusion and expression-only models are very small, so the magnitude and variability of these effects should be shown more clearly. Reporting the results for individual drugs would help to put these differences into context.</w:t>
      </w:r>
    </w:p>
    <w:p>
      <w:r>
        <w:t>Response: I added paired drug-group summaries: 15 drug-seed cells, eight unique compounds, mean fusion-minus-expression RMSE −0.0009, sample SD 0.0019, median −0.0019, IQR −0.0023 to 0.0006, range −0.0031 to +0.0022, with fusion favorable in 11 cells and unfavorable in four. Individual compound values are reported in the Results and machine-readable summary. These are empirical variability summaries, not independent confidence intervals. See lines 85-91. These summaries are paired within the same drug and seed, so they show the size and direction of observed differences without treating repeated partitions as independent biological experiments. I also explain that the small average difference should not be converted into a claim of stable superiority.</w:t>
      </w:r>
    </w:p>
    <w:p>
      <w:pPr>
        <w:pStyle w:val="Heading2"/>
      </w:pPr>
      <w:r>
        <w:t>Comment 6: Redundant figures</w:t>
      </w:r>
    </w:p>
    <w:p>
      <w:r>
        <w:rPr>
          <w:b/>
        </w:rPr>
        <w:t xml:space="preserve">Reviewer comment: </w:t>
      </w:r>
      <w:r>
        <w:t>Some figures seem redundant. Figures 1 and 3A show very similar results, as do Figures 2 and 3B, and could be combined or simplified.</w:t>
      </w:r>
    </w:p>
    <w:p>
      <w:r>
        <w:t>Response: I simplified the main display set. Figure 1 is the compact LOOD summary, Figure 2 the signed fusion contrast/conflict view, and Figure 3 the availability diagnostic. The former modality-resolved and fold-level figures remain individual supplementary files. See lines 96-101. This removes the previous duplication and makes the visual sequence match the manuscript narrative. The supplementary files preserve detail without forcing the reader to interpret several versions of the same comparison in the main text.</w:t>
      </w:r>
    </w:p>
    <w:p>
      <w:pPr>
        <w:pStyle w:val="Heading2"/>
      </w:pPr>
      <w:r>
        <w:t>Comment 7: Soften H2 and LOOD language</w:t>
      </w:r>
    </w:p>
    <w:p>
      <w:r>
        <w:rPr>
          <w:b/>
        </w:rPr>
        <w:t xml:space="preserve">Reviewer comment: </w:t>
      </w:r>
      <w:r>
        <w:t>The Discussion is generally cautious, but some statements could be softened. In particular, saying that H2 was ‘supported’ or referring to ‘consistent cross-study degradation’ may be too strong, since both the dataset and compound composition change in the leave-one-dataset-out analysis.</w:t>
      </w:r>
    </w:p>
    <w:p>
      <w:r>
        <w:t>Response: I replaced “H2 was supported” and “consistent cross-study degradation” with language describing a less favorable fusion contrast in the observed source-held-out setting. I explicitly state that this is not a causal or general law because multiple dataset properties change simultaneously. See lines 112-119. The revised wording now says that fusion was less favorable in the observed source-held-out folds, while acknowledging that the comparison changes the source, compounds, cell lines, assay context, and response scale together.</w:t>
      </w:r>
    </w:p>
    <w:p>
      <w:pPr>
        <w:pStyle w:val="Heading2"/>
      </w:pPr>
      <w:r>
        <w:t>Comment 8: Biological and drug-specific discussion</w:t>
      </w:r>
    </w:p>
    <w:p>
      <w:r>
        <w:rPr>
          <w:b/>
        </w:rPr>
        <w:t xml:space="preserve">Reviewer comment: </w:t>
      </w:r>
      <w:r>
        <w:t>I would also like to see more discussion of the biological and drug-specific findings. Since the title emphasizes ‘drug-conditional’ value, it would be interesting to discuss whether the benefit of additional omics differs between drugs or mechanisms of action. Finally, the Discussion could be shortened, as some of the main findings are repeated several times.</w:t>
      </w:r>
    </w:p>
    <w:p>
      <w:r>
        <w:t>Response: I added a concise compound-level discussion. ACY-1215 and DACOMITINIB had the largest favorable mean deltas in the observed audit, while GSK1059615 and STAUROSPORINE had unfavorable mean deltas. I state that these are descriptive and do not establish mechanism-of-action effects because there is no drug-aware input, no complete 15-drug LODO analysis, and no formal mechanism-stratified test. See lines 124-129. I also added the practical interpretation that a compound-specific difference can motivate follow-up investigation or assay prioritization, but cannot by itself identify a mechanism or justify a biomarker claim. Repeated effects across a larger, drug-aware and mechanism-annotated universe remain necessary.</w:t>
      </w:r>
    </w:p>
    <w:p>
      <w:pPr>
        <w:pStyle w:val="Heading1"/>
      </w:pPr>
      <w:r>
        <w:t>Reviewer 3</w:t>
      </w:r>
    </w:p>
    <w:p>
      <w:pPr>
        <w:pStyle w:val="Heading2"/>
      </w:pPr>
      <w:r>
        <w:t>Comment 1: No drug-specific features</w:t>
      </w:r>
    </w:p>
    <w:p>
      <w:r>
        <w:rPr>
          <w:b/>
        </w:rPr>
        <w:t xml:space="preserve">Reviewer comment: </w:t>
      </w:r>
      <w:r>
        <w:t>The proposed models use only cell-line molecular features, including expression, copy number, and mutation, but do not incorporate any drug-specific information such as chemical structure, molecular fingerprints, drug targets, mechanism of action, or other drug representations. Consequently, when a drug is held out, the model has no information indicating which particular drug is being predicted. The current experiment therefore appears to evaluate whether relationships between cell-line molecular profiles and general drug-response patterns can generalize across the selected drug universe, rather than conventional prediction of responses to previously unseen compounds. This distinction is important because the manuscript repeatedly interprets the drug-held-out analysis in terms of prediction for unseen drugs. The authors should reconsider the definition of the corresponding estimand and revise the terminology and interpretation accordingly. Alternatively, a drug-aware modeling framework incorporating drug-specific features would be needed to substantiate a stronger claim regarding unseen-drug prediction.</w:t>
      </w:r>
    </w:p>
    <w:p>
      <w:r>
        <w:t>Response: I revised the estimand and terminology throughout. The model uses only cell-line molecular features and cannot learn a drug-specific response function in the usual sense. Drug-held-out validation is now described as transfer of a cell-line-only relationship to held-out records within the declared universe. Drug-aware modeling is explicitly future work. See lines 61-63, 91-94, and 124-129. I also added explicit non-use statements: the results should not be used to predict an arbitrary new drug, select patient treatment, make causal claims about mutation or copy-number biology, or replace experimental validation. A drug-aware framework with chemical, target, or mechanism features is identified as future work.</w:t>
      </w:r>
    </w:p>
    <w:p>
      <w:pPr>
        <w:pStyle w:val="Heading2"/>
      </w:pPr>
      <w:r>
        <w:t>Comment 2: Compound subset and generalizability</w:t>
      </w:r>
    </w:p>
    <w:p>
      <w:r>
        <w:rPr>
          <w:b/>
        </w:rPr>
        <w:t xml:space="preserve">Reviewer comment: </w:t>
      </w:r>
      <w:r>
        <w:t>The manuscript includes five compounds from each of GDSC1, GDSC2, and CTD², but the rationale and criteria used to select these compounds are not sufficiently described. Because the main conclusions are based on this particular subset, the observed fusion effects may be highly dependent on the composition of these 15 compounds. This is particularly important given the heterogeneity of drug mechanisms, response distributions, and cell-line coverage across pharmacogenomic datasets. The authors should provide explicit inclusion and exclusion criteria for the compound selection and, if possible, compare the selected compounds with the broader available drug universe in terms of response distributions, molecular characteristics, and cell-line coverage. A substantially larger drug set would provide stronger evidence regarding the generalizability of the reported findings.</w:t>
      </w:r>
    </w:p>
    <w:p>
      <w:r>
        <w:t>Response: I added explicit selection criteria, broader source-level drug counts, selected response counts, and the limitation that the subset is pragmatic and non-representative. See lines 42-44. I now connect this limitation to the interpretation of every aggregate result: the reported effect is conditional on the selected 15 compounds, their response distributions, and their available cell lines. I did not extend the claims to the full GDSC or CTD² drug universes.</w:t>
      </w:r>
    </w:p>
    <w:p>
      <w:pPr>
        <w:pStyle w:val="Heading2"/>
      </w:pPr>
      <w:r>
        <w:t>Comment 3: Small fusion effect and uncertainty</w:t>
      </w:r>
    </w:p>
    <w:p>
      <w:r>
        <w:rPr>
          <w:b/>
        </w:rPr>
        <w:t xml:space="preserve">Reviewer comment: </w:t>
      </w:r>
      <w:r>
        <w:t>The improvement reported by multimodal fusion is the very small magnitude. The mean RMSE is 0.2322 for fusion and 0.2328 for expression alone, corresponding to a difference of only −0.0006. Moreover, fusion improves performance in only three of the five repeated splits and performs worse in two splits. Although the authors appropriately avoid making formal statistical significance claims from these repeated partitions, the current analysis provides limited evidence that the small average improvement represents a stable effect. Additional uncertainty assessment would therefore be valuable. In particular, the authors should report the paired fusion-versus-expression differences for each held-out drug or drug group and provide an appropriate measure of variability around the estimated effect. More extensive repeated grouped cross-validation would also strengthen the assessment of whether the observed improvement is reproducible.</w:t>
      </w:r>
    </w:p>
    <w:p>
      <w:r>
        <w:t>Response: I added paired compound-level effect summaries and report their empirical variability, while avoiding formal significance claims because drug-seed cells are not independent. More extensive repeated grouped validation and complete LODO are identified as future work. See lines 85-91 and 115-119. I report the direction across the observed drug-seed cells and explain why this is descriptive uncertainty rather than a confidence interval for a population effect. The manuscript now treats more extensive repeated grouped validation as a necessary next step, not as an analysis already completed.</w:t>
      </w:r>
    </w:p>
    <w:p>
      <w:pPr>
        <w:pStyle w:val="Heading2"/>
      </w:pPr>
      <w:r>
        <w:t>Comment 4: 2,000 versus 6,000 feature budget</w:t>
      </w:r>
    </w:p>
    <w:p>
      <w:r>
        <w:rPr>
          <w:b/>
        </w:rPr>
        <w:t xml:space="preserve">Reviewer comment: </w:t>
      </w:r>
      <w:r>
        <w:t>The expression model uses the top 2,000 selected features, whereas the fusion model uses 2,000 features from each of the three modalities, resulting in a total of 6,000 features. Both models use the same Ridge penalty (alpha=1). Thus, adding modalities simultaneously changes the available information and the dimensionality and effective regularization regime of the model. The observed difference therefore cannot necessarily be attributed solely to the incremental information provided by copy-number and mutation features. The authors should consider sensitivity analyses with independently tuned regularization parameters, equalized total feature budgets, or modality-specific/group-wise regularization. Such analyses would help determine whether the observed fusion effect reflects complementary molecular information or differences in model complexity.</w:t>
      </w:r>
    </w:p>
    <w:p>
      <w:r>
        <w:t>Response: I now state explicitly that fusion changes both information content and dimensionality under the same alpha=1 penalty. The current comparison is not a pure estimate of biological complementarity. Equalized budgets, tuned regularization, and group-wise penalties are future sensitivity analyses. See lines 55-60 and 130-133. I added this qualification to the interpretation of the primary effect. Thus, the result is about the evaluated model comparison, in which information and feature dimensionality change together, and not a clean decomposition of biological complementarity from model complexity.</w:t>
      </w:r>
    </w:p>
    <w:p>
      <w:pPr>
        <w:pStyle w:val="Heading2"/>
      </w:pPr>
      <w:r>
        <w:t>Comment 5: Limited Ridge early-fusion baseline</w:t>
      </w:r>
    </w:p>
    <w:p>
      <w:r>
        <w:rPr>
          <w:b/>
        </w:rPr>
        <w:t xml:space="preserve">Reviewer comment: </w:t>
      </w:r>
      <w:r>
        <w:t>The baseline framework is also relatively limited for a manuscript discussing multimodal pharmacogenomic prediction. The current analysis deliberately uses a fixed Ridge learner and early feature concatenation, which provides a transparent and controlled comparison but does not establish whether the observed behavior is specific to the chosen modeling strategy. The manuscript does not evaluate drug representations, nonlinear learners, late-fusion strategies, modality-specific regularization, or missing-modality-aware approaches. Therefore, the conclusions should be restricted to the evaluated Ridge-based early-fusion framework. Additional drug-aware and alternative fusion baselines would be particularly useful if the authors intend to make broader claims about the conditional value of multimodal pharmacogenomics.</w:t>
      </w:r>
    </w:p>
    <w:p>
      <w:r>
        <w:t>Response: I restrict conclusions to the fixed Ridge early-fusion construction and list drug representations, nonlinear learners, late fusion, group-wise regularization, modality completion, and missing-modality-aware models as untested alternatives. See lines 60-63 and 130-133. I therefore removed broader statements about multimodal pharmacogenomics in general and retained only conclusions supported by this Ridge early-fusion experiment. The Discussion names the untested alternatives as scope limitations and future work.</w:t>
      </w:r>
    </w:p>
    <w:p>
      <w:pPr>
        <w:pStyle w:val="Heading2"/>
      </w:pPr>
      <w:r>
        <w:t>Comment 6: Accessible reproducibility artifacts</w:t>
      </w:r>
    </w:p>
    <w:p>
      <w:r>
        <w:rPr>
          <w:b/>
        </w:rPr>
        <w:t xml:space="preserve">Reviewer comment: </w:t>
      </w:r>
      <w:r>
        <w:t>The manuscript places substantial emphasis on reproducibility as a contribution, but the reproducibility claims should be supported by directly accessible computational artifacts. The manuscript states that code, manifests, derived results, and reproducibility materials are available in a project repository, but a concrete repository identifier, versioned release, or commit is not provided in the manuscript. Given that the reported results depend on specific data releases, split manifests, feature-selection procedures, preprocessing rules, and software environments, the authors should provide a clearly accessible repository together with a fixed version or commit, environment specification, data-release identifiers, and scripts sufficient to regenerate the main tables and figures. This would be particularly important because the manuscript itself emphasizes preservation of split manifests and preprocessing decisions as essential components of reproducibility.</w:t>
      </w:r>
    </w:p>
    <w:p>
      <w:r>
        <w:t>Response: I added the concrete repository URL, the immutable GitHub release tag v1.0.1-jpbi-zenodo, and the Zenodo DOI https://doi.org/10.5281/zenodo.23054361. The release contains the data-release identifiers, environment specification, regeneration scripts, split and feature manifests, and machine-readable outputs. Raw provider files remain subject to their access terms. See lines 121-133. The data-availability statement now points to both the working repository and the permanent DOI. I also state that a clean rerun still requires authorized downloads of the named provider releases, so the archive supports reproducibility without claiming that restricted raw matrices are redistributed.</w:t>
      </w:r>
    </w:p>
    <w:p>
      <w:pPr>
        <w:pStyle w:val="Heading1"/>
      </w:pPr>
      <w:r>
        <w:t>Additional files supplied with the revision</w:t>
      </w:r>
    </w:p>
    <w:p>
      <w:r>
        <w:t>1. Clean revised manuscript: jpbi_manuscript_package.docx.</w:t>
        <w:br/>
        <w:t>2. Marked revision: jpbi_manuscript_package_tracked_changes.docx.</w:t>
        <w:br/>
        <w:t>3. Line-numbered clean-manuscript companion: jpbi_clean_manuscript_line_numbered.txt.</w:t>
        <w:br/>
        <w:t>4. Dataset-characterization table and JSON artifact.</w:t>
        <w:br/>
        <w:t>5. Individual main and supplementary figure files.</w:t>
        <w:br/>
        <w:t>6. Updated supplementary material and reproducibility package.</w:t>
      </w:r>
    </w:p>
    <w:p>
      <w:r>
        <w:t>I appreciate the reviewers’ comments, which helped us narrow the estimand, improve methodological transparency, and align the claims with the evidence.</w:t>
      </w:r>
    </w:p>
    <w:p>
      <w:r>
        <w:t>Sincerely,</w:t>
        <w:br/>
        <w:t>Carlos Victor Montefusco-Pereira</w:t>
        <w:br/>
        <w:t>Corresponding author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