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[ADD EMAIL]</w:t>
      </w:r>
    </w:p>
    <w:p/>
    <w:p>
      <w:r>
        <w:rPr>
          <w:b/>
        </w:rPr>
        <w:t xml:space="preserve">Article type: </w:t>
      </w:r>
      <w:r>
        <w:t>Research article</w:t>
      </w:r>
    </w:p>
    <w:p>
      <w:r>
        <w:rPr>
          <w:b/>
        </w:rPr>
        <w:t xml:space="preserve">Declarations: </w:t>
      </w:r>
      <w:r>
        <w:t>Funding, competing interests, CRediT, and generative-AI declaration to be completed before submission.</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prespecified evaluation universe contained 15 compounds from GDSC1, GDSC2, and CTD². Models used fold-local feature selection and Ridge regression, with drug-held-out and leave-one-dataset-out validation. In drug-held-out validation, fusion improved RMSE on two of three repeated splits, with mean RMSE 0.2005 versus 0.2063 for expression alone. In cross-study validation, fusion degraded RMSE on all three held-out datasets: CTD2 0.5649 versus 0.3276, GDSC1 0.3101 versus 0.2585, and GDSC2 0.2870 versus 0.2291.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prespecified a workflow that treats incremental predictive value, missingness, calibration, and modality conflict as joint evaluation targets.</w:t>
      </w:r>
    </w:p>
    <w:p>
      <w:pPr>
        <w:pStyle w:val="Heading2"/>
        <w:keepNext/>
      </w:pPr>
      <w:r>
        <w:t>1.1. Brief literature context</w:t>
      </w:r>
    </w:p>
    <w:p>
      <w:pPr>
        <w:spacing w:after="120" w:line="259" w:lineRule="auto"/>
      </w:pPr>
      <w:r>
        <w:t>Large cell-line resources established the empirical basis for this task. The Cancer Cell Line Encyclopedia and the Genomics of Drug Sensitivity in Cancer linked molecular profiles to pharmacologic response across large panels, while later DepMap releases expanded standardized molecular and dependency data [1–3]. These resources also show why response prediction is not purely a genomic problem: lineage and multiple molecular data types contribute to drug sensitivity associations [2].</w:t>
      </w:r>
    </w:p>
    <w:p>
      <w:pPr>
        <w:spacing w:after="120" w:line="259" w:lineRule="auto"/>
      </w:pPr>
      <w:r>
        <w:t>Prior computational work has used classical machine learning, deep learning, and multimodal integration for drug-response prediction [4–6]. MOLI is a prominent late-integration example that combines expression, copy-number, and mutation features and reported gains in external validations [5]. However, published comparisons often differ in response metric, drug universe, feature processing, split design, and external-study transfer. The present study addresses a narrower methodological question: whether adding modalities improves a fixed, leakage-controlled baseline under drug-heldout and cross-study evaluation. It is intended as a validation benchmark, not as a competing deep-learning model.</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1"/>
        <w:keepNext/>
      </w:pPr>
      <w:r>
        <w:t>3. Results</w:t>
      </w:r>
    </w:p>
    <w:p>
      <w:pPr>
        <w:spacing w:after="120" w:line="259" w:lineRule="auto"/>
      </w:pPr>
      <w:r>
        <w:t>Drug-held-out performance was split-sensitive: fusion improved two of three seeds and worsened slightly on one. In leave-one-dataset-out validation, expression was consistently stronger than fusion, with the largest fusion degradation on CTD2. The signed fusion-minus-expression RMSE deltas and all frozen metrics are available in the machine-readable result tables. Row-level modality summaries showed weak-to-moderate correlations, while outer-joined tables showed dataset-dependent modality availability.</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0.3276</w:t>
            </w:r>
          </w:p>
        </w:tc>
        <w:tc>
          <w:tcPr>
            <w:tcW w:type="dxa" w:w="1958"/>
            <w:vAlign w:val="center"/>
          </w:tcPr>
          <w:p>
            <w:pPr>
              <w:spacing w:after="0"/>
            </w:pPr>
            <w:r/>
            <w:r>
              <w:rPr>
                <w:b w:val="0"/>
                <w:sz w:val="16"/>
              </w:rPr>
              <w:t>0.3575</w:t>
            </w:r>
          </w:p>
        </w:tc>
        <w:tc>
          <w:tcPr>
            <w:tcW w:type="dxa" w:w="1958"/>
            <w:vAlign w:val="center"/>
          </w:tcPr>
          <w:p>
            <w:pPr>
              <w:spacing w:after="0"/>
            </w:pPr>
            <w:r/>
            <w:r>
              <w:rPr>
                <w:b w:val="0"/>
                <w:sz w:val="16"/>
              </w:rPr>
              <w:t>0.4048</w:t>
            </w:r>
          </w:p>
        </w:tc>
        <w:tc>
          <w:tcPr>
            <w:tcW w:type="dxa" w:w="1958"/>
            <w:vAlign w:val="center"/>
          </w:tcPr>
          <w:p>
            <w:pPr>
              <w:spacing w:after="0"/>
            </w:pPr>
            <w:r/>
            <w:r>
              <w:rPr>
                <w:b w:val="0"/>
                <w:sz w:val="16"/>
              </w:rPr>
              <w:t>0.5649</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0.2585</w:t>
            </w:r>
          </w:p>
        </w:tc>
        <w:tc>
          <w:tcPr>
            <w:tcW w:type="dxa" w:w="1958"/>
            <w:vAlign w:val="center"/>
          </w:tcPr>
          <w:p>
            <w:pPr>
              <w:spacing w:after="0"/>
            </w:pPr>
            <w:r/>
            <w:r>
              <w:rPr>
                <w:b w:val="0"/>
                <w:sz w:val="16"/>
              </w:rPr>
              <w:t>0.4121</w:t>
            </w:r>
          </w:p>
        </w:tc>
        <w:tc>
          <w:tcPr>
            <w:tcW w:type="dxa" w:w="1958"/>
            <w:vAlign w:val="center"/>
          </w:tcPr>
          <w:p>
            <w:pPr>
              <w:spacing w:after="0"/>
            </w:pPr>
            <w:r/>
            <w:r>
              <w:rPr>
                <w:b w:val="0"/>
                <w:sz w:val="16"/>
              </w:rPr>
              <w:t>0.5062</w:t>
            </w:r>
          </w:p>
        </w:tc>
        <w:tc>
          <w:tcPr>
            <w:tcW w:type="dxa" w:w="1958"/>
            <w:vAlign w:val="center"/>
          </w:tcPr>
          <w:p>
            <w:pPr>
              <w:spacing w:after="0"/>
            </w:pPr>
            <w:r/>
            <w:r>
              <w:rPr>
                <w:b w:val="0"/>
                <w:sz w:val="16"/>
              </w:rPr>
              <w:t>0.3101</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0.2291</w:t>
            </w:r>
          </w:p>
        </w:tc>
        <w:tc>
          <w:tcPr>
            <w:tcW w:type="dxa" w:w="1958"/>
            <w:vAlign w:val="center"/>
          </w:tcPr>
          <w:p>
            <w:pPr>
              <w:spacing w:after="0"/>
            </w:pPr>
            <w:r/>
            <w:r>
              <w:rPr>
                <w:b w:val="0"/>
                <w:sz w:val="16"/>
              </w:rPr>
              <w:t>0.4935</w:t>
            </w:r>
          </w:p>
        </w:tc>
        <w:tc>
          <w:tcPr>
            <w:tcW w:type="dxa" w:w="1958"/>
            <w:vAlign w:val="center"/>
          </w:tcPr>
          <w:p>
            <w:pPr>
              <w:spacing w:after="0"/>
            </w:pPr>
            <w:r/>
            <w:r>
              <w:rPr>
                <w:b w:val="0"/>
                <w:sz w:val="16"/>
              </w:rPr>
              <w:t>0.6469</w:t>
            </w:r>
          </w:p>
        </w:tc>
        <w:tc>
          <w:tcPr>
            <w:tcW w:type="dxa" w:w="1958"/>
            <w:vAlign w:val="center"/>
          </w:tcPr>
          <w:p>
            <w:pPr>
              <w:spacing w:after="0"/>
            </w:pPr>
            <w:r/>
            <w:r>
              <w:rPr>
                <w:b w:val="0"/>
                <w:sz w:val="16"/>
              </w:rPr>
              <w:t>0.2870</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0.1481</w:t>
            </w:r>
          </w:p>
        </w:tc>
        <w:tc>
          <w:tcPr>
            <w:tcW w:type="dxa" w:w="2448"/>
            <w:vAlign w:val="center"/>
          </w:tcPr>
          <w:p>
            <w:pPr>
              <w:spacing w:after="0"/>
            </w:pPr>
            <w:r/>
            <w:r>
              <w:rPr>
                <w:b w:val="0"/>
                <w:sz w:val="16"/>
              </w:rPr>
              <w:t>0.1326</w:t>
            </w:r>
          </w:p>
        </w:tc>
        <w:tc>
          <w:tcPr>
            <w:tcW w:type="dxa" w:w="2448"/>
            <w:vAlign w:val="center"/>
          </w:tcPr>
          <w:p>
            <w:pPr>
              <w:spacing w:after="0"/>
            </w:pPr>
            <w:r/>
            <w:r>
              <w:rPr>
                <w:b w:val="0"/>
                <w:sz w:val="16"/>
              </w:rPr>
              <w:t>-0.0155</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0.2174</w:t>
            </w:r>
          </w:p>
        </w:tc>
        <w:tc>
          <w:tcPr>
            <w:tcW w:type="dxa" w:w="2448"/>
            <w:vAlign w:val="center"/>
          </w:tcPr>
          <w:p>
            <w:pPr>
              <w:spacing w:after="0"/>
            </w:pPr>
            <w:r/>
            <w:r>
              <w:rPr>
                <w:b w:val="0"/>
                <w:sz w:val="16"/>
              </w:rPr>
              <w:t>0.2148</w:t>
            </w:r>
          </w:p>
        </w:tc>
        <w:tc>
          <w:tcPr>
            <w:tcW w:type="dxa" w:w="2448"/>
            <w:vAlign w:val="center"/>
          </w:tcPr>
          <w:p>
            <w:pPr>
              <w:spacing w:after="0"/>
            </w:pPr>
            <w:r/>
            <w:r>
              <w:rPr>
                <w:b w:val="0"/>
                <w:sz w:val="16"/>
              </w:rPr>
              <w:t>-0.0026</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0.2535</w:t>
            </w:r>
          </w:p>
        </w:tc>
        <w:tc>
          <w:tcPr>
            <w:tcW w:type="dxa" w:w="2448"/>
            <w:vAlign w:val="center"/>
          </w:tcPr>
          <w:p>
            <w:pPr>
              <w:spacing w:after="0"/>
            </w:pPr>
            <w:r/>
            <w:r>
              <w:rPr>
                <w:b w:val="0"/>
                <w:sz w:val="16"/>
              </w:rPr>
              <w:t>0.2542</w:t>
            </w:r>
          </w:p>
        </w:tc>
        <w:tc>
          <w:tcPr>
            <w:tcW w:type="dxa" w:w="2448"/>
            <w:vAlign w:val="center"/>
          </w:tcPr>
          <w:p>
            <w:pPr>
              <w:spacing w:after="0"/>
            </w:pPr>
            <w:r/>
            <w:r>
              <w:rPr>
                <w:b w:val="0"/>
                <w:sz w:val="16"/>
              </w:rPr>
              <w:t>+0.0007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The study is limited by the small prespecified 15-drug universe, limited same-drug overlap across datasets, and the use of compact Ridge baselines rather than a broad model class. The conclusions are therefore about evaluation design and conditional predictive value, not a claim that any modality is biologically uninformative.</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br w:type="page"/>
      </w:r>
    </w:p>
    <w:p>
      <w:pPr>
        <w:pStyle w:val="Heading1"/>
        <w:keepNext/>
      </w:pPr>
      <w:r>
        <w:t>Supplementary material</w:t>
      </w:r>
    </w:p>
    <w:p>
      <w:pPr>
        <w:spacing w:after="120" w:line="259" w:lineRule="auto"/>
      </w:pPr>
      <w:r>
        <w:t>Supplementary Table S1 reports the complete/missing test-row counts for the three drug-heldout seeds.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3 persisted seeds; fold-local top-2,000 features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