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Response to Reviewers</w:t>
      </w:r>
    </w:p>
    <w:p>
      <w:pPr>
        <w:jc w:val="center"/>
      </w:pPr>
      <w:r>
        <w:rPr>
          <w:b/>
        </w:rPr>
        <w:t>Journal of Pharmaceutical and BioTech Industry</w:t>
        <w:br/>
        <w:t>Manuscript ID: jpbi-4567094</w:t>
        <w:br/>
      </w:r>
      <w:r>
        <w:t>Title: Multimodal Cancer Drug-Response Prediction Shows Small, Validation-Dependent Gains in a 15-Compound DepMap Benchmark</w:t>
      </w:r>
    </w:p>
    <w:p>
      <w:r>
        <w:t>Dear Editor and Reviewers,</w:t>
      </w:r>
    </w:p>
    <w:p>
      <w:r>
        <w:t>We thank the editor and reviewers for their careful and constructive assessment. We revised the manuscript toward a narrower and more reproducible claim. The study is now explicitly framed as a fixed Ridge early-fusion benchmark using cell-line molecular features, not as a general drug-aware prediction framework. We clarified dataset and mutation provenance, softened LOOD interpretation, expanded uncertainty and compound-level reporting, simplified the main figures, and strengthened the reproducibility statement. The code and derived artifacts are now publicly archived at https://doi.org/10.5281/zenodo.23054361.</w:t>
      </w:r>
    </w:p>
    <w:p>
      <w: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pPr>
      <w:r>
        <w:t>Reviewer 1</w:t>
      </w:r>
    </w:p>
    <w:p>
      <w:pPr>
        <w:pStyle w:val="Heading2"/>
      </w:pPr>
      <w:r>
        <w:t>Comment 1: Dataset description and response-scale comparability</w:t>
      </w:r>
    </w:p>
    <w:p>
      <w:r>
        <w:rPr>
          <w:b/>
        </w:rPr>
        <w:t xml:space="preserve">Reviewer comment: </w:t>
      </w:r>
      <w:r>
        <w:t>The datasets are insufficiently described. Please report the AUC distributions, scales, sample sizes, feature numbers, and missingness patterns for each dataset. Because response scales differ across GDSC1, GDSC2, and CTD², RMSE values are not directly comparable.</w:t>
      </w:r>
    </w:p>
    <w:p>
      <w:r>
        <w:t>Response: We added a dataset-characterization table reporting the selected compounds, response rows, unique cell lines, AUC minimum, quartiles, median, maximum, raw feature counts, and modality coverage for GDSC1, GDSC2, and CTD². We now state that source-specific response values are retained without cross-dataset rescaling and that RMSE and MAE are interpreted within dataset and validation fold, not used to rank cross-dataset difficulty. See clean manuscript lines 35-43 and Table 1.</w:t>
      </w:r>
    </w:p>
    <w:p>
      <w:pPr>
        <w:pStyle w:val="Heading2"/>
      </w:pPr>
      <w:r>
        <w:t>Comment 2: LOOD confounding</w:t>
      </w:r>
    </w:p>
    <w:p>
      <w:r>
        <w:rPr>
          <w:b/>
        </w:rPr>
        <w:t xml:space="preserve">Reviewer comment: </w:t>
      </w:r>
      <w:r>
        <w:t>The leave-one-dataset-out analysis is confounded by simultaneous differences in dataset source, drugs, cell lines, assay protocols, and response scales. Therefore, poorer fusion performance cannot be attributed solely to multimodal integration.</w:t>
      </w:r>
    </w:p>
    <w:p>
      <w:r>
        <w:t>Response: We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lines 75-82 and lines 112-119.</w:t>
      </w:r>
    </w:p>
    <w:p>
      <w:pPr>
        <w:pStyle w:val="Heading2"/>
      </w:pPr>
      <w:r>
        <w:t>Comment 3: Modeling pipeline details and unseen drugs</w:t>
      </w:r>
    </w:p>
    <w:p>
      <w:r>
        <w:rPr>
          <w:b/>
        </w:rPr>
        <w:t xml:space="preserve">Reviewer comment: </w:t>
      </w:r>
      <w: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r>
        <w:t>Response: We expanded the Methods to describe compound inclusion, depmap_id matching, provider-supplied damaging-mutation encoding, fold-local variance selection, training-fold median imputation, training-fold standardization, and fixed Ridge alpha=1.0. We also state that the model has no drug identity, structure, target, dose, or mechanism features; therefore the drug-held-out analysis is a limited transfer stress test within the declared universe, not arbitrary unseen-drug prediction. See lines 45-68.</w:t>
      </w:r>
    </w:p>
    <w:p>
      <w:pPr>
        <w:pStyle w:val="Heading2"/>
      </w:pPr>
      <w:r>
        <w:t>Comment 4: Figures, tables, and metric interpretation</w:t>
      </w:r>
    </w:p>
    <w:p>
      <w:r>
        <w:rPr>
          <w:b/>
        </w:rPr>
        <w:t xml:space="preserve">Reviewer comment: </w:t>
      </w:r>
      <w: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r>
        <w:t>Response: We reorganized the display logic around the estimands. The main figures now provide a compact LOOD summary, a fusion-minus-expression/conflict view, and a modality-availability diagnostic. Redundant modality-resolved and fold-level figures are retained individually as supplementary outputs rather than repeated in the main sequence. A dedicated Q1-Q3 interpretation subsection links each metric to its validation design. See lines 90-111 and Figures 1-3.</w:t>
      </w:r>
    </w:p>
    <w:p>
      <w:pPr>
        <w:pStyle w:val="Heading2"/>
      </w:pPr>
      <w:r>
        <w:t>Core reproducibility requirements</w:t>
      </w:r>
    </w:p>
    <w:p>
      <w:r>
        <w:t>Response: We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lines 121-133.</w:t>
      </w:r>
    </w:p>
    <w:p>
      <w:pPr>
        <w:pStyle w:val="Heading1"/>
      </w:pPr>
      <w:r>
        <w:t>Reviewer 2</w:t>
      </w:r>
    </w:p>
    <w:p>
      <w:pPr>
        <w:pStyle w:val="Heading2"/>
      </w:pPr>
      <w:r>
        <w:t>Comment 1: Clarify the knowledge gap</w:t>
      </w:r>
    </w:p>
    <w:p>
      <w:r>
        <w:rPr>
          <w:b/>
        </w:rPr>
        <w:t xml:space="preserve">Reviewer comment: </w:t>
      </w:r>
      <w: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r>
        <w:t>Response: We added a focused Introduction paragraph reviewing expression-only baselines, multimodal studies such as MOLI and DrugCell, and the uncertainty about whether mutation and copy-number add stable value beyond expression under external or cross-dataset validation. We explain how feature budgets, learners, response definitions, and split units limit direct comparison. See lines 16-24.</w:t>
      </w:r>
    </w:p>
    <w:p>
      <w:pPr>
        <w:pStyle w:val="Heading2"/>
      </w:pPr>
      <w:r>
        <w:t>Comment 2: Compound-selection criteria</w:t>
      </w:r>
    </w:p>
    <w:p>
      <w:r>
        <w:rPr>
          <w:b/>
        </w:rPr>
        <w:t xml:space="preserve">Reviewer comment: </w:t>
      </w:r>
      <w:r>
        <w:t>The Methods are generally clear, but I believe that several choices need more explanation. It is not clear how the 15 compounds were selected. Since all subsequent analyses are based on this relatively small set, the selection criteria should be explicitly described.</w:t>
      </w:r>
    </w:p>
    <w:p>
      <w:r>
        <w:t>Response: We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We also compare the subset with the broader source-level drug counts and state that it is not representative of the full drug universe. See lines 42-44 and Supplementary Table S1.</w:t>
      </w:r>
    </w:p>
    <w:p>
      <w:pPr>
        <w:pStyle w:val="Heading2"/>
      </w:pPr>
      <w:r>
        <w:t>Comment 3: Damaging-mutation matrix</w:t>
      </w:r>
    </w:p>
    <w:p>
      <w:r>
        <w:rPr>
          <w:b/>
        </w:rPr>
        <w:t xml:space="preserve">Reviewer comment: </w:t>
      </w:r>
      <w:r>
        <w:t>More detail is needed on how the damaging-mutation matrix was generated, including which variants were included, how they were classified and encoded, and how missing mutation data were handled.</w:t>
      </w:r>
    </w:p>
    <w:p>
      <w:r>
        <w:t>Response: We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lines 50-54.</w:t>
      </w:r>
    </w:p>
    <w:p>
      <w:pPr>
        <w:pStyle w:val="Heading2"/>
      </w:pPr>
      <w:r>
        <w:t>Comment 4: Complete leave-one-drug-out analysis</w:t>
      </w:r>
    </w:p>
    <w:p>
      <w:r>
        <w:rPr>
          <w:b/>
        </w:rPr>
        <w:t xml:space="preserve">Reviewer comment: </w:t>
      </w:r>
      <w: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r>
        <w:t>Response: We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lines 67-70 and 115-119.</w:t>
      </w:r>
    </w:p>
    <w:p>
      <w:pPr>
        <w:pStyle w:val="Heading2"/>
      </w:pPr>
      <w:r>
        <w:t>Comment 5: Individual drug effects and variability</w:t>
      </w:r>
    </w:p>
    <w:p>
      <w:r>
        <w:rPr>
          <w:b/>
        </w:rPr>
        <w:t xml:space="preserve">Reviewer comment: </w:t>
      </w:r>
      <w:r>
        <w:t>The differences between fusion and expression-only models are very small, so the magnitude and variability of these effects should be shown more clearly. Reporting the results for individual drugs would help to put these differences into context.</w:t>
      </w:r>
    </w:p>
    <w:p>
      <w:r>
        <w:t>Response: We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lines 85-91.</w:t>
      </w:r>
    </w:p>
    <w:p>
      <w:pPr>
        <w:pStyle w:val="Heading2"/>
      </w:pPr>
      <w:r>
        <w:t>Comment 6: Redundant figures</w:t>
      </w:r>
    </w:p>
    <w:p>
      <w:r>
        <w:rPr>
          <w:b/>
        </w:rPr>
        <w:t xml:space="preserve">Reviewer comment: </w:t>
      </w:r>
      <w:r>
        <w:t>Some figures seem redundant. Figures 1 and 3A show very similar results, as do Figures 2 and 3B, and could be combined or simplified.</w:t>
      </w:r>
    </w:p>
    <w:p>
      <w:r>
        <w:t>Response: We simplified the main display set. Figure 1 is the compact LOOD summary, Figure 2 the signed fusion contrast/conflict view, and Figure 3 the availability diagnostic. The former modality-resolved and fold-level figures remain individual supplementary files. See lines 96-101.</w:t>
      </w:r>
    </w:p>
    <w:p>
      <w:pPr>
        <w:pStyle w:val="Heading2"/>
      </w:pPr>
      <w:r>
        <w:t>Comment 7: Soften H2 and LOOD language</w:t>
      </w:r>
    </w:p>
    <w:p>
      <w:r>
        <w:rPr>
          <w:b/>
        </w:rPr>
        <w:t xml:space="preserve">Reviewer comment: </w:t>
      </w:r>
      <w: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r>
        <w:t>Response: We replaced “H2 was supported” and “consistent cross-study degradation” with language describing a less favorable fusion contrast in the observed source-held-out setting. We explicitly state that this is not a causal or general law because multiple dataset properties change simultaneously. See lines 112-119.</w:t>
      </w:r>
    </w:p>
    <w:p>
      <w:pPr>
        <w:pStyle w:val="Heading2"/>
      </w:pPr>
      <w:r>
        <w:t>Comment 8: Biological and drug-specific discussion</w:t>
      </w:r>
    </w:p>
    <w:p>
      <w:r>
        <w:rPr>
          <w:b/>
        </w:rPr>
        <w:t xml:space="preserve">Reviewer comment: </w:t>
      </w:r>
      <w: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r>
        <w:t>Response: We added a concise compound-level discussion. ACY-1215 and DACOMITINIB had the largest favorable mean deltas in the observed audit, while GSK1059615 and STAUROSPORINE had unfavorable mean deltas. We state that these are descriptive and do not establish mechanism-of-action effects because there is no drug-aware input, no complete 15-drug LODO analysis, and no formal mechanism-stratified test. See lines 124-129.</w:t>
      </w:r>
    </w:p>
    <w:p>
      <w:pPr>
        <w:pStyle w:val="Heading1"/>
      </w:pPr>
      <w:r>
        <w:t>Reviewer 3</w:t>
      </w:r>
    </w:p>
    <w:p>
      <w:pPr>
        <w:pStyle w:val="Heading2"/>
      </w:pPr>
      <w:r>
        <w:t>Comment 1: No drug-specific features</w:t>
      </w:r>
    </w:p>
    <w:p>
      <w:r>
        <w:rPr>
          <w:b/>
        </w:rPr>
        <w:t xml:space="preserve">Reviewer comment: </w:t>
      </w:r>
      <w: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r>
        <w:t>Response: We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lines 61-63, 91-94, and 124-129.</w:t>
      </w:r>
    </w:p>
    <w:p>
      <w:pPr>
        <w:pStyle w:val="Heading2"/>
      </w:pPr>
      <w:r>
        <w:t>Comment 2: Compound subset and generalizability</w:t>
      </w:r>
    </w:p>
    <w:p>
      <w:r>
        <w:rPr>
          <w:b/>
        </w:rPr>
        <w:t xml:space="preserve">Reviewer comment: </w:t>
      </w:r>
      <w: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r>
        <w:t>Response: We added explicit selection criteria, broader source-level drug counts, selected response counts, and the limitation that the subset is pragmatic and non-representative. See lines 42-44.</w:t>
      </w:r>
    </w:p>
    <w:p>
      <w:pPr>
        <w:pStyle w:val="Heading2"/>
      </w:pPr>
      <w:r>
        <w:t>Comment 3: Small fusion effect and uncertainty</w:t>
      </w:r>
    </w:p>
    <w:p>
      <w:r>
        <w:rPr>
          <w:b/>
        </w:rPr>
        <w:t xml:space="preserve">Reviewer comment: </w:t>
      </w:r>
      <w: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r>
        <w:t>Response: We added paired compound-level effect summaries and report their empirical variability, while avoiding formal significance claims because drug-seed cells are not independent. More extensive repeated grouped validation and complete LODO are identified as future work. See lines 85-91 and 115-119.</w:t>
      </w:r>
    </w:p>
    <w:p>
      <w:pPr>
        <w:pStyle w:val="Heading2"/>
      </w:pPr>
      <w:r>
        <w:t>Comment 4: 2,000 versus 6,000 feature budget</w:t>
      </w:r>
    </w:p>
    <w:p>
      <w:r>
        <w:rPr>
          <w:b/>
        </w:rPr>
        <w:t xml:space="preserve">Reviewer comment: </w:t>
      </w:r>
      <w: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r>
        <w:t>Response: We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lines 55-60 and 130-133.</w:t>
      </w:r>
    </w:p>
    <w:p>
      <w:pPr>
        <w:pStyle w:val="Heading2"/>
      </w:pPr>
      <w:r>
        <w:t>Comment 5: Limited Ridge early-fusion baseline</w:t>
      </w:r>
    </w:p>
    <w:p>
      <w:r>
        <w:rPr>
          <w:b/>
        </w:rPr>
        <w:t xml:space="preserve">Reviewer comment: </w:t>
      </w:r>
      <w: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r>
        <w:t>Response: We restrict conclusions to the fixed Ridge early-fusion construction and list drug representations, nonlinear learners, late fusion, group-wise regularization, modality completion, and missing-modality-aware models as untested alternatives. See lines 60-63 and 130-133.</w:t>
      </w:r>
    </w:p>
    <w:p>
      <w:pPr>
        <w:pStyle w:val="Heading2"/>
      </w:pPr>
      <w:r>
        <w:t>Comment 6: Accessible reproducibility artifacts</w:t>
      </w:r>
    </w:p>
    <w:p>
      <w:r>
        <w:rPr>
          <w:b/>
        </w:rPr>
        <w:t xml:space="preserve">Reviewer comment: </w:t>
      </w:r>
      <w: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r>
        <w:t>Response: We added the concrete repository URL, the immutable GitHub release tag v1.0.1-jpbi-zenodo, and the Zenodo DOI https://doi.org/10.5281/zenodo.23054361. The release contains the data-release identifiers, environment specification, regeneration scripts, split and feature manifests, and machine-readable outputs. Raw provider files remain subject to their access terms. See lines 121-133.</w:t>
      </w:r>
    </w:p>
    <w:p>
      <w:pPr>
        <w:pStyle w:val="Heading1"/>
      </w:pPr>
      <w:r>
        <w:t>Additional files supplied with the revision</w:t>
      </w:r>
    </w:p>
    <w:p>
      <w:r>
        <w:t>1. Clean revised manuscript: jpbi_manuscript_package.docx.</w:t>
        <w:br/>
        <w:t>2. Marked revision: jpbi_manuscript_package_tracked_changes.docx.</w:t>
        <w:br/>
        <w:t>3. Line-numbered clean-manuscript companion: jpbi_clean_manuscript_line_numbered.txt.</w:t>
        <w:br/>
        <w:t>4. Dataset-characterization table and JSON artifact.</w:t>
        <w:br/>
        <w:t>5. Individual main and supplementary figure files.</w:t>
        <w:br/>
        <w:t>6. Updated supplementary material and reproducibility package.</w:t>
      </w:r>
    </w:p>
    <w:p>
      <w:r>
        <w:t>We appreciate the reviewers’ comments, which helped us narrow the estimand, improve methodological transparency, and align the claims with the evidence.</w:t>
      </w:r>
    </w:p>
    <w:p>
      <w:r>
        <w:t>Sincerely,</w:t>
        <w:br/>
        <w:t>Carlos Victor Montefusco-Pereira</w:t>
        <w:br/>
        <w:t>Corresponding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