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Multimodal Cancer Drug-Response Prediction Shows Small, Validation-Dependent Gains in a 15-Compound DepMap Benchmark</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t>The workflow is intended as a decision-support and benchmarking tool for early drug-discovery data science.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br w:type="page"/>
      </w:r>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4 and the detailed decision audit in the Supplementary Material.</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p>
      <w:r>
        <w:rPr>
          <w:b/>
        </w:rPr>
        <w:t xml:space="preserve">Supplementary Table S3. </w:t>
      </w:r>
      <w:r>
        <w:t>Release scope and limitations.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