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Multimodal Cancer Drug-Response Prediction Shows Small, Validation-Dependent Gains in a 15-Compound DepMap Benchmark</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t>The workflow is intended as a decision-support and benchmarking tool for early drug-discovery data science.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br w:type="page"/>
      </w:r>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4 and the detailed decision audit in the Supplementary Material.</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p>
      <w:r>
        <w:rPr>
          <w:b/>
        </w:rPr>
        <w:t xml:space="preserve">Supplementary Table S3. </w:t>
      </w:r>
      <w:r>
        <w:t>Release scope and limitations.</w:t>
      </w:r>
    </w:p>
    <w:p>
      <w:r>
        <w:br w:type="page"/>
      </w:r>
    </w:p>
    <w:p>
      <w:pPr>
        <w:pStyle w:val="Heading1"/>
      </w:pPr>
      <w:r>
        <w:t>Revision marking legend</w:t>
      </w:r>
    </w:p>
    <w:p>
      <w:r>
        <w:t>This marked version identifies paragraphs that differ from the previously submitted manuscript. Blue underlined text indicates added or substantially revised text. Deletions are represented in the response letter and are not silently reconstructed where the original wording was replaced wholesale. The clean manuscript is the authoritative submission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