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Multimodal Cancer Drug-Response Prediction Shows Small, Validation-Dependent Gains in a 15-Compound DepMap Benchmark</w:t>
      </w:r>
    </w:p>
    <w:p>
      <w:pPr>
        <w:jc w:val="center"/>
      </w:pPr>
      <w:r>
        <w:rPr>
          <w:b/>
        </w:rPr>
        <w:t>Carlos Victor Montefusco-Pereira</w:t>
        <w:br/>
      </w:r>
      <w:r>
        <w:t>Independent Researcher in Data Science and AI for Pharmaceutical Industry</w:t>
        <w:br/>
        <w:t>Friedrich-Wilhelm 28, 12103 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Adding molecular assays may improve drug-response prediction, but the benefit may depend on the response resource, validation target, and data completeness. I compared expression-only and early-fusion Ridge models using expression, copy-number, and damaging-mutation features from GDSC1, GDSC2, and CTD². The declared benchmark contained 15 compounds. Feature selection, imputation, and scaling were performed within each training fold, followed by five grouped drug-held-out splits and leave-one-dataset-out transfer.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pPr>
      <w: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pPr>
      <w:r>
        <w:t>The workflow is intended as a decision-support and benchmarking tool for early drug-discovery data science.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spacing w:after="120" w:line="259" w:lineRule="auto"/>
      </w:pPr>
      <w: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pPr>
      <w: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pPr>
      <w: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pPr>
      <w: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pPr>
      <w: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pPr>
      <w: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pPr>
      <w: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pPr>
      <w: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pPr>
      <w: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pPr>
      <w: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pPr>
      <w: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pPr>
      <w: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pPr>
      <w: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Dataset characteristics and response scales</w:t>
      </w:r>
    </w:p>
    <w:p>
      <w:pPr>
        <w:spacing w:after="120" w:line="259" w:lineRule="auto"/>
      </w:pPr>
      <w: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pPr>
        <w:pStyle w:val="Heading2"/>
        <w:keepNext/>
      </w:pPr>
      <w:r>
        <w:t>3.2.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r>
        <w:rPr>
          <w:b/>
        </w:rPr>
        <w:t xml:space="preserve">Supplementary Table S3 reports individual compound results. </w:t>
      </w:r>
      <w: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p>
      <w:pPr>
        <w:pStyle w:val="Heading2"/>
        <w:keepNext/>
      </w:pPr>
      <w:r>
        <w:t>3.3. Cross-study transfer</w:t>
      </w:r>
    </w:p>
    <w:p>
      <w:pPr>
        <w:spacing w:after="120" w:line="259" w:lineRule="auto"/>
      </w:pPr>
      <w: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spacing w:after="120" w:line="259" w:lineRule="auto"/>
      </w:pPr>
      <w: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pPr>
      <w:r>
        <w:t>3.4.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pPr>
      <w:r>
        <w:t>3.5. Interpretation against the research questions</w:t>
      </w:r>
    </w:p>
    <w:p>
      <w:pPr>
        <w:spacing w:after="120" w:line="259" w:lineRule="auto"/>
      </w:pPr>
      <w: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pPr>
      <w: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r>
        <w:br w:type="page"/>
      </w:r>
    </w:p>
    <w:p>
      <w:pPr>
        <w:pStyle w:val="Heading1"/>
        <w:keepNext/>
      </w:pPr>
      <w:r>
        <w:t>4. Discussion</w:t>
      </w:r>
    </w:p>
    <w:p>
      <w:pPr>
        <w:spacing w:after="120" w:line="259" w:lineRule="auto"/>
      </w:pPr>
      <w: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pPr>
      <w: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pPr>
      <w: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pPr>
      <w: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pPr>
      <w: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pPr>
      <w: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pPr>
      <w: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pPr>
      <w: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pPr>
      <w: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4 and the detailed decision audit in the Supplementary Material.</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pPr>
      <w: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pPr>
      <w: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pPr>
      <w:r>
        <w:t>6. Data and code availability</w:t>
      </w:r>
    </w:p>
    <w:p>
      <w:pPr>
        <w:spacing w:after="120" w:line="259" w:lineRule="auto"/>
      </w:pPr>
      <w:r>
        <w:t>Code, split manifests, derived result summaries, figures, and reproducibility notes are provided at https://github.com/camontefusco/more-omics-is-not-always-better.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t>[14] Partin A, et al. Benchmarking community drug response prediction models: datasets, models, tools, and metrics for cross-dataset generalization analysis. Brief Bioinform. 2026;27(1):bbaf667. doi:10.1093/bib/bbaf667.</w:t>
      </w:r>
    </w:p>
    <w:p>
      <w:r>
        <w:t>[15] Bernett J, et al. Critical evaluation of drug response prediction models with DrEval. Nat Commun. 2026;17:4238. doi:10.1038/s41467-026-72903-w.</w:t>
      </w:r>
    </w:p>
    <w:p>
      <w:r>
        <w:t>[16] Carli F, et al. CellHit: a web server to predict and analyze cancer patients’ drug responsiveness. Nucleic Acids Res. 2025;53(W1):W143-W150. doi:10.1093/nar/gkaf414.</w:t>
      </w:r>
    </w:p>
    <w:p>
      <w:r>
        <w:t>[17] Wang Q, et al. scDrugMap: benchmarking large foundation models for drug response prediction. Nat Commun. 2026;17:730. doi:10.1038/s41467-025-67481-2.</w:t>
      </w:r>
    </w:p>
    <w:p>
      <w:r>
        <w:t>[18] Automated real-world data integration improves cancer outcome prediction. Nature. 2024;629:123-131. doi:10.1038/s41586-024-08167-5.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p>
      <w:r>
        <w:rPr>
          <w:b/>
        </w:rPr>
        <w:t xml:space="preserve">Supplementary Table S3. </w:t>
      </w:r>
      <w:r>
        <w:t>Release scope and limitations.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