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b/>
        </w:rPr>
        <w:t>Response to Reviewers</w:t>
      </w:r>
    </w:p>
    <w:p>
      <w:pPr>
        <w:jc w:val="center"/>
      </w:pPr>
      <w:r>
        <w:rPr>
          <w:b/>
        </w:rPr>
        <w:t>Journal of Pharmaceutical and BioTech Industry</w:t>
        <w:br/>
        <w:t>Manuscript ID: jpbi-4567094</w:t>
        <w:br/>
      </w:r>
      <w:r>
        <w:t>Title: Multimodal Cancer Drug-Response Prediction Shows Small, Validation-Dependent Gains in a 15-Compound DepMap Benchmark</w:t>
      </w:r>
    </w:p>
    <w:p>
      <w:r>
        <w:t>Dear Editor and Reviewers,</w:t>
      </w:r>
    </w:p>
    <w:p>
      <w:r>
        <w:t>We thank the editor and reviewers for their careful and constructive assessment. We revised the manuscript toward a narrower and more reproducible claim. The study is now explicitly framed as a fixed Ridge early-fusion benchmark using cell-line molecular features, not as a general drug-aware prediction framework. We clarified dataset and mutation provenance, softened LOOD interpretation, expanded uncertainty and compound-level reporting, simplified the main figures, and strengthened the reproducibility statement.</w:t>
      </w:r>
    </w:p>
    <w:p>
      <w:r>
        <w:t>Line references below refer to the accompanying line-numbered clean-manuscript file, jpbi_clean_manuscript_line_numbered.txt. Table and figure numbers refer to the revised clean manuscript. The marked version uses blue underlining for added or substantially revised paragraphs; the clean manuscript is the authoritative version.</w:t>
      </w:r>
    </w:p>
    <w:p>
      <w:pPr>
        <w:pStyle w:val="Heading1"/>
      </w:pPr>
      <w:r>
        <w:t>Reviewer 1</w:t>
      </w:r>
    </w:p>
    <w:p>
      <w:pPr>
        <w:pStyle w:val="Heading2"/>
      </w:pPr>
      <w:r>
        <w:t>Comment 1: Dataset description and response-scale comparability</w:t>
      </w:r>
    </w:p>
    <w:p>
      <w:r>
        <w:rPr>
          <w:b/>
        </w:rPr>
        <w:t xml:space="preserve">Reviewer comment: </w:t>
      </w:r>
      <w:r>
        <w:t>The datasets are insufficiently described. Please report the AUC distributions, scales, sample sizes, feature numbers, and missingness patterns for each dataset. Because response scales differ across GDSC1, GDSC2, and CTD², RMSE values are not directly comparable.</w:t>
      </w:r>
    </w:p>
    <w:p>
      <w:r>
        <w:t>Response: We added a dataset-characterization table reporting the selected compounds, response rows, unique cell lines, AUC minimum, quartiles, median, maximum, raw feature counts, and modality coverage for GDSC1, GDSC2, and CTD². We now state that source-specific response values are retained without cross-dataset rescaling and that RMSE and MAE are interpreted within dataset and validation fold, not used to rank cross-dataset difficulty. See clean manuscript lines 35-43 and Table 1.</w:t>
      </w:r>
    </w:p>
    <w:p>
      <w:pPr>
        <w:pStyle w:val="Heading2"/>
      </w:pPr>
      <w:r>
        <w:t>Comment 2: LOOD confounding</w:t>
      </w:r>
    </w:p>
    <w:p>
      <w:r>
        <w:rPr>
          <w:b/>
        </w:rPr>
        <w:t xml:space="preserve">Reviewer comment: </w:t>
      </w:r>
      <w:r>
        <w:t>The leave-one-dataset-out analysis is confounded by simultaneous differences in dataset source, drugs, cell lines, assay protocols, and response scales. Therefore, poorer fusion performance cannot be attributed solely to multimodal integration.</w:t>
      </w:r>
    </w:p>
    <w:p>
      <w:r>
        <w:t>Response: We agree. The LOOD interpretation now states that source, compounds, cell lines, assay procedures, response construction, response scale, and modality availability change simultaneously. LOOD is described as a portability stress test of the complete pipeline, not as a causal test of multimodal integration. See lines 75-82 and lines 112-119.</w:t>
      </w:r>
    </w:p>
    <w:p>
      <w:pPr>
        <w:pStyle w:val="Heading2"/>
      </w:pPr>
      <w:r>
        <w:t>Comment 3: Modeling pipeline details and unseen drugs</w:t>
      </w:r>
    </w:p>
    <w:p>
      <w:r>
        <w:rPr>
          <w:b/>
        </w:rPr>
        <w:t xml:space="preserve">Reviewer comment: </w:t>
      </w:r>
      <w:r>
        <w:t>The modeling pipeline needs clearer details, including compound selection, cell-line matching, mutation encoding, feature selection, imputation, and parameter choice. The authors should also explain how predictions for unseen drugs are possible without drug-related features.</w:t>
      </w:r>
    </w:p>
    <w:p>
      <w:r>
        <w:t>Response: We expanded the Methods to describe compound inclusion, depmap_id matching, provider-supplied damaging-mutation encoding, fold-local variance selection, training-fold median imputation, training-fold standardization, and fixed Ridge alpha=1.0. We also state that the model has no drug identity, structure, target, dose, or mechanism features; therefore the drug-held-out analysis is a limited transfer stress test within the declared universe, not arbitrary unseen-drug prediction. See lines 45-68.</w:t>
      </w:r>
    </w:p>
    <w:p>
      <w:pPr>
        <w:pStyle w:val="Heading2"/>
      </w:pPr>
      <w:r>
        <w:t>Comment 4: Figures, tables, and metric interpretation</w:t>
      </w:r>
    </w:p>
    <w:p>
      <w:r>
        <w:rPr>
          <w:b/>
        </w:rPr>
        <w:t xml:space="preserve">Reviewer comment: </w:t>
      </w:r>
      <w:r>
        <w:t>The presentation of figures and tables is disorganized and insufficiently integrated into the main narrative. Several displays are redundant or confusingly arranged, for example Figures 1–3, and some are not adequately introduced or discussed in the main text. The reported metrics receive only limited interpretation, making it difficult to connect the results to the central research questions, Q1–Q3, the validation design, and the study’s conclusions.</w:t>
      </w:r>
    </w:p>
    <w:p>
      <w:r>
        <w:t>Response: We reorganized the display logic around the estimands. The main figures now provide a compact LOOD summary, a fusion-minus-expression/conflict view, and a modality-availability diagnostic. Redundant modality-resolved and fold-level figures are retained individually as supplementary outputs rather than repeated in the main sequence. A dedicated Q1-Q3 interpretation subsection links each metric to its validation design. See lines 90-111 and Figures 1-3.</w:t>
      </w:r>
    </w:p>
    <w:p>
      <w:pPr>
        <w:pStyle w:val="Heading2"/>
      </w:pPr>
      <w:r>
        <w:t>Core reproducibility requirements</w:t>
      </w:r>
    </w:p>
    <w:p>
      <w:r>
        <w:t>Response: We added an executable workflow description, cross-dataset alignment rules, release identifiers, environment specification, repository URL, split and feature-manifest inventory, and regeneration scripts. The repository is https://github.com/camontefusco/more-omics-is-not-always-better. Raw provider files remain subject to their access terms. See lines 121-133.</w:t>
      </w:r>
    </w:p>
    <w:p>
      <w:pPr>
        <w:pStyle w:val="Heading1"/>
      </w:pPr>
      <w:r>
        <w:t>Reviewer 2</w:t>
      </w:r>
    </w:p>
    <w:p>
      <w:pPr>
        <w:pStyle w:val="Heading2"/>
      </w:pPr>
      <w:r>
        <w:t>Comment 1: Clarify the knowledge gap</w:t>
      </w:r>
    </w:p>
    <w:p>
      <w:r>
        <w:rPr>
          <w:b/>
        </w:rPr>
        <w:t xml:space="preserve">Reviewer comment: </w:t>
      </w:r>
      <w:r>
        <w:t>The Introduction provides a good rationale for the study, but the specific knowledge gap could be stated more clearly. I would suggest giving a more focused overview of previous studies addressing whether mutation and copy-number data actually improve prediction beyond expression-only models, particularly in external or cross-dataset validation. This would make it easier to see what this study adds to the existing literature.</w:t>
      </w:r>
    </w:p>
    <w:p>
      <w:r>
        <w:t>Response: We added a focused Introduction paragraph reviewing expression-only baselines, multimodal studies such as MOLI and DrugCell, and the uncertainty about whether mutation and copy-number add stable value beyond expression under external or cross-dataset validation. We explain how feature budgets, learners, response definitions, and split units limit direct comparison. See lines 16-24.</w:t>
      </w:r>
    </w:p>
    <w:p>
      <w:pPr>
        <w:pStyle w:val="Heading2"/>
      </w:pPr>
      <w:r>
        <w:t>Comment 2: Compound-selection criteria</w:t>
      </w:r>
    </w:p>
    <w:p>
      <w:r>
        <w:rPr>
          <w:b/>
        </w:rPr>
        <w:t xml:space="preserve">Reviewer comment: </w:t>
      </w:r>
      <w:r>
        <w:t>The Methods are generally clear, but I believe that several choices need more explanation. It is not clear how the 15 compounds were selected. Since all subsequent analyses are based on this relatively small set, the selection criteria should be explicitly described.</w:t>
      </w:r>
    </w:p>
    <w:p>
      <w:r>
        <w:t>Response: We state that the benchmark used a predeclared source-balanced subset of five compounds per source. Inclusion required exact source identifiers, sufficient response records, and consistent cell-line/molecular matching; compounds absent or inconsistently matched were excluded, and no selection was changed after performance inspection. We also compare the subset with the broader source-level drug counts and state that it is not representative of the full drug universe. See lines 42-44 and Supplementary Table S1.</w:t>
      </w:r>
    </w:p>
    <w:p>
      <w:pPr>
        <w:pStyle w:val="Heading2"/>
      </w:pPr>
      <w:r>
        <w:t>Comment 3: Damaging-mutation matrix</w:t>
      </w:r>
    </w:p>
    <w:p>
      <w:r>
        <w:rPr>
          <w:b/>
        </w:rPr>
        <w:t xml:space="preserve">Reviewer comment: </w:t>
      </w:r>
      <w:r>
        <w:t>More detail is needed on how the damaging-mutation matrix was generated, including which variants were included, how they were classified and encoded, and how missing mutation data were handled.</w:t>
      </w:r>
    </w:p>
    <w:p>
      <w:r>
        <w:t>Response: We clarify that the matrix was taken from DepMap Public 26Q1, “Damaging Mutations (Public 26Q1),” rather than reconstructed from raw variant calls. Gene-level columns and source-defined damaging classifications were retained; missing values were not treated as benign, and remaining missing selected values were imputed only with training-fold medians. No variant reclassification or new pathogenicity model was performed. See lines 50-54.</w:t>
      </w:r>
    </w:p>
    <w:p>
      <w:pPr>
        <w:pStyle w:val="Heading2"/>
      </w:pPr>
      <w:r>
        <w:t>Comment 4: Complete leave-one-drug-out analysis</w:t>
      </w:r>
    </w:p>
    <w:p>
      <w:r>
        <w:rPr>
          <w:b/>
        </w:rPr>
        <w:t xml:space="preserve">Reviewer comment: </w:t>
      </w:r>
      <w:r>
        <w:t>The drug-held-out analysis could also be more systematic. Only eight of the 15 compounds appear in the held-out sets across the five splits. Given the small number of compounds, a leave-one-drug-out analysis across all 15 could provide a clearer view of model performance for individual drugs and different mechanisms of action.</w:t>
      </w:r>
    </w:p>
    <w:p>
      <w:r>
        <w:t>Response: We clarified that the five grouped splits cover eight unique compounds and are not a complete 15-drug leave-one-out design. The existing per-drug audit is explicitly descriptive. Complete leave-one-drug-out validation across all 15 compounds, with reliable mechanism strata, is identified as future work rather than implied to have been performed. See lines 67-70 and 115-119.</w:t>
      </w:r>
    </w:p>
    <w:p>
      <w:pPr>
        <w:pStyle w:val="Heading2"/>
      </w:pPr>
      <w:r>
        <w:t>Comment 5: Individual drug effects and variability</w:t>
      </w:r>
    </w:p>
    <w:p>
      <w:r>
        <w:rPr>
          <w:b/>
        </w:rPr>
        <w:t xml:space="preserve">Reviewer comment: </w:t>
      </w:r>
      <w:r>
        <w:t>The differences between fusion and expression-only models are very small, so the magnitude and variability of these effects should be shown more clearly. Reporting the results for individual drugs would help to put these differences into context.</w:t>
      </w:r>
    </w:p>
    <w:p>
      <w:r>
        <w:t>Response: We added paired drug-group summaries: 15 drug-seed cells, eight unique compounds, mean fusion-minus-expression RMSE −0.0009, sample SD 0.0019, median −0.0019, IQR −0.0023 to 0.0006, range −0.0031 to +0.0022, with fusion favorable in 11 cells and unfavorable in four. Individual compound values are reported in the Results and machine-readable summary. These are empirical variability summaries, not independent confidence intervals. See lines 85-91.</w:t>
      </w:r>
    </w:p>
    <w:p>
      <w:pPr>
        <w:pStyle w:val="Heading2"/>
      </w:pPr>
      <w:r>
        <w:t>Comment 6: Redundant figures</w:t>
      </w:r>
    </w:p>
    <w:p>
      <w:r>
        <w:rPr>
          <w:b/>
        </w:rPr>
        <w:t xml:space="preserve">Reviewer comment: </w:t>
      </w:r>
      <w:r>
        <w:t>Some figures seem redundant. Figures 1 and 3A show very similar results, as do Figures 2 and 3B, and could be combined or simplified.</w:t>
      </w:r>
    </w:p>
    <w:p>
      <w:r>
        <w:t>Response: We simplified the main display set. Figure 1 is the compact LOOD summary, Figure 2 the signed fusion contrast/conflict view, and Figure 3 the availability diagnostic. The former modality-resolved and fold-level figures remain individual supplementary files. See lines 96-101.</w:t>
      </w:r>
    </w:p>
    <w:p>
      <w:pPr>
        <w:pStyle w:val="Heading2"/>
      </w:pPr>
      <w:r>
        <w:t>Comment 7: Soften H2 and LOOD language</w:t>
      </w:r>
    </w:p>
    <w:p>
      <w:r>
        <w:rPr>
          <w:b/>
        </w:rPr>
        <w:t xml:space="preserve">Reviewer comment: </w:t>
      </w:r>
      <w:r>
        <w:t>The Discussion is generally cautious, but some statements could be softened. In particular, saying that H2 was ‘supported’ or referring to ‘consistent cross-study degradation’ may be too strong, since both the dataset and compound composition change in the leave-one-dataset-out analysis.</w:t>
      </w:r>
    </w:p>
    <w:p>
      <w:r>
        <w:t>Response: We replaced “H2 was supported” and “consistent cross-study degradation” with language describing a less favorable fusion contrast in the observed source-held-out setting. We explicitly state that this is not a causal or general law because multiple dataset properties change simultaneously. See lines 112-119.</w:t>
      </w:r>
    </w:p>
    <w:p>
      <w:pPr>
        <w:pStyle w:val="Heading2"/>
      </w:pPr>
      <w:r>
        <w:t>Comment 8: Biological and drug-specific discussion</w:t>
      </w:r>
    </w:p>
    <w:p>
      <w:r>
        <w:rPr>
          <w:b/>
        </w:rPr>
        <w:t xml:space="preserve">Reviewer comment: </w:t>
      </w:r>
      <w:r>
        <w:t>I would also like to see more discussion of the biological and drug-specific findings. Since the title emphasizes ‘drug-conditional’ value, it would be interesting to discuss whether the benefit of additional omics differs between drugs or mechanisms of action. Finally, the Discussion could be shortened, as some of the main findings are repeated several times.</w:t>
      </w:r>
    </w:p>
    <w:p>
      <w:r>
        <w:t>Response: We added a concise compound-level discussion. ACY-1215 and DACOMITINIB had the largest favorable mean deltas in the observed audit, while GSK1059615 and STAUROSPORINE had unfavorable mean deltas. We state that these are descriptive and do not establish mechanism-of-action effects because there is no drug-aware input, no complete 15-drug LODO analysis, and no formal mechanism-stratified test. See lines 124-129.</w:t>
      </w:r>
    </w:p>
    <w:p>
      <w:pPr>
        <w:pStyle w:val="Heading1"/>
      </w:pPr>
      <w:r>
        <w:t>Reviewer 3</w:t>
      </w:r>
    </w:p>
    <w:p>
      <w:pPr>
        <w:pStyle w:val="Heading2"/>
      </w:pPr>
      <w:r>
        <w:t>Comment 1: No drug-specific features</w:t>
      </w:r>
    </w:p>
    <w:p>
      <w:r>
        <w:rPr>
          <w:b/>
        </w:rPr>
        <w:t xml:space="preserve">Reviewer comment: </w:t>
      </w:r>
      <w:r>
        <w:t>The proposed models use only cell-line molecular features, including expression, copy number, and mutation, but do not incorporate any drug-specific information such as chemical structure, molecular fingerprints, drug targets, mechanism of action, or other drug representations. Consequently, when a drug is held out, the model has no information indicating which particular drug is being predicted. The current experiment therefore appears to evaluate whether relationships between cell-line molecular profiles and general drug-response patterns can generalize across the selected drug universe, rather than conventional prediction of responses to previously unseen compounds. This distinction is important because the manuscript repeatedly interprets the drug-held-out analysis in terms of prediction for unseen drugs. The authors should reconsider the definition of the corresponding estimand and revise the terminology and interpretation accordingly. Alternatively, a drug-aware modeling framework incorporating drug-specific features would be needed to substantiate a stronger claim regarding unseen-drug prediction.</w:t>
      </w:r>
    </w:p>
    <w:p>
      <w:r>
        <w:t>Response: We revised the estimand and terminology throughout. The model uses only cell-line molecular features and cannot learn a drug-specific response function in the usual sense. Drug-held-out validation is now described as transfer of a cell-line-only relationship to held-out records within the declared universe. Drug-aware modeling is explicitly future work. See lines 61-63, 91-94, and 124-129.</w:t>
      </w:r>
    </w:p>
    <w:p>
      <w:pPr>
        <w:pStyle w:val="Heading2"/>
      </w:pPr>
      <w:r>
        <w:t>Comment 2: Compound subset and generalizability</w:t>
      </w:r>
    </w:p>
    <w:p>
      <w:r>
        <w:rPr>
          <w:b/>
        </w:rPr>
        <w:t xml:space="preserve">Reviewer comment: </w:t>
      </w:r>
      <w:r>
        <w:t>The manuscript includes five compounds from each of GDSC1, GDSC2, and CTD², but the rationale and criteria used to select these compounds are not sufficiently described. Because the main conclusions are based on this particular subset, the observed fusion effects may be highly dependent on the composition of these 15 compounds. This is particularly important given the heterogeneity of drug mechanisms, response distributions, and cell-line coverage across pharmacogenomic datasets. The authors should provide explicit inclusion and exclusion criteria for the compound selection and, if possible, compare the selected compounds with the broader available drug universe in terms of response distributions, molecular characteristics, and cell-line coverage. A substantially larger drug set would provide stronger evidence regarding the generalizability of the reported findings.</w:t>
      </w:r>
    </w:p>
    <w:p>
      <w:r>
        <w:t>Response: We added explicit selection criteria, broader source-level drug counts, selected response counts, and the limitation that the subset is pragmatic and non-representative. See lines 42-44.</w:t>
      </w:r>
    </w:p>
    <w:p>
      <w:pPr>
        <w:pStyle w:val="Heading2"/>
      </w:pPr>
      <w:r>
        <w:t>Comment 3: Small fusion effect and uncertainty</w:t>
      </w:r>
    </w:p>
    <w:p>
      <w:r>
        <w:rPr>
          <w:b/>
        </w:rPr>
        <w:t xml:space="preserve">Reviewer comment: </w:t>
      </w:r>
      <w:r>
        <w:t>The improvement reported by multimodal fusion is the very small magnitude. The mean RMSE is 0.2322 for fusion and 0.2328 for expression alone, corresponding to a difference of only −0.0006. Moreover, fusion improves performance in only three of the five repeated splits and performs worse in two splits. Although the authors appropriately avoid making formal statistical significance claims from these repeated partitions, the current analysis provides limited evidence that the small average improvement represents a stable effect. Additional uncertainty assessment would therefore be valuable. In particular, the authors should report the paired fusion-versus-expression differences for each held-out drug or drug group and provide an appropriate measure of variability around the estimated effect. More extensive repeated grouped cross-validation would also strengthen the assessment of whether the observed improvement is reproducible.</w:t>
      </w:r>
    </w:p>
    <w:p>
      <w:r>
        <w:t>Response: We added paired compound-level effect summaries and report their empirical variability, while avoiding formal significance claims because drug-seed cells are not independent. More extensive repeated grouped validation and complete LODO are identified as future work. See lines 85-91 and 115-119.</w:t>
      </w:r>
    </w:p>
    <w:p>
      <w:pPr>
        <w:pStyle w:val="Heading2"/>
      </w:pPr>
      <w:r>
        <w:t>Comment 4: 2,000 versus 6,000 feature budget</w:t>
      </w:r>
    </w:p>
    <w:p>
      <w:r>
        <w:rPr>
          <w:b/>
        </w:rPr>
        <w:t xml:space="preserve">Reviewer comment: </w:t>
      </w:r>
      <w:r>
        <w:t>The expression model uses the top 2,000 selected features, whereas the fusion model uses 2,000 features from each of the three modalities, resulting in a total of 6,000 features. Both models use the same Ridge penalty (alpha=1). Thus, adding modalities simultaneously changes the available information and the dimensionality and effective regularization regime of the model. The observed difference therefore cannot necessarily be attributed solely to the incremental information provided by copy-number and mutation features. The authors should consider sensitivity analyses with independently tuned regularization parameters, equalized total feature budgets, or modality-specific/group-wise regularization. Such analyses would help determine whether the observed fusion effect reflects complementary molecular information or differences in model complexity.</w:t>
      </w:r>
    </w:p>
    <w:p>
      <w:r>
        <w:t>Response: We now state explicitly that fusion changes both information content and dimensionality under the same alpha=1 penalty. The current comparison is not a pure estimate of biological complementarity. Equalized budgets, tuned regularization, and group-wise penalties are future sensitivity analyses. See lines 55-60 and 130-133.</w:t>
      </w:r>
    </w:p>
    <w:p>
      <w:pPr>
        <w:pStyle w:val="Heading2"/>
      </w:pPr>
      <w:r>
        <w:t>Comment 5: Limited Ridge early-fusion baseline</w:t>
      </w:r>
    </w:p>
    <w:p>
      <w:r>
        <w:rPr>
          <w:b/>
        </w:rPr>
        <w:t xml:space="preserve">Reviewer comment: </w:t>
      </w:r>
      <w:r>
        <w:t>The baseline framework is also relatively limited for a manuscript discussing multimodal pharmacogenomic prediction. The current analysis deliberately uses a fixed Ridge learner and early feature concatenation, which provides a transparent and controlled comparison but does not establish whether the observed behavior is specific to the chosen modeling strategy. The manuscript does not evaluate drug representations, nonlinear learners, late-fusion strategies, modality-specific regularization, or missing-modality-aware approaches. Therefore, the conclusions should be restricted to the evaluated Ridge-based early-fusion framework. Additional drug-aware and alternative fusion baselines would be particularly useful if the authors intend to make broader claims about the conditional value of multimodal pharmacogenomics.</w:t>
      </w:r>
    </w:p>
    <w:p>
      <w:r>
        <w:t>Response: We restrict conclusions to the fixed Ridge early-fusion construction and list drug representations, nonlinear learners, late fusion, group-wise regularization, modality completion, and missing-modality-aware models as untested alternatives. See lines 60-63 and 130-133.</w:t>
      </w:r>
    </w:p>
    <w:p>
      <w:pPr>
        <w:pStyle w:val="Heading2"/>
      </w:pPr>
      <w:r>
        <w:t>Comment 6: Accessible reproducibility artifacts</w:t>
      </w:r>
    </w:p>
    <w:p>
      <w:r>
        <w:rPr>
          <w:b/>
        </w:rPr>
        <w:t xml:space="preserve">Reviewer comment: </w:t>
      </w:r>
      <w:r>
        <w:t>The manuscript places substantial emphasis on reproducibility as a contribution, but the reproducibility claims should be supported by directly accessible computational artifacts. The manuscript states that code, manifests, derived results, and reproducibility materials are available in a project repository, but a concrete repository identifier, versioned release, or commit is not provided in the manuscript. Given that the reported results depend on specific data releases, split manifests, feature-selection procedures, preprocessing rules, and software environments, the authors should provide a clearly accessible repository together with a fixed version or commit, environment specification, data-release identifiers, and scripts sufficient to regenerate the main tables and figures. This would be particularly important because the manuscript itself emphasizes preservation of split manifests and preprocessing decisions as essential components of reproducibility.</w:t>
      </w:r>
    </w:p>
    <w:p>
      <w:r>
        <w:t>Response: We added the concrete repository URL, data-release identifiers, environment specification, main regeneration scripts, manifests, and machine-readable outputs. The final resubmission commit or release tag will be identified in the submitted response package; the working repository alone is not presented as an immutable version. See lines 121-133.</w:t>
      </w:r>
    </w:p>
    <w:p>
      <w:pPr>
        <w:pStyle w:val="Heading1"/>
      </w:pPr>
      <w:r>
        <w:t>Additional files supplied with the revision</w:t>
      </w:r>
    </w:p>
    <w:p>
      <w:r>
        <w:t>1. Clean revised manuscript: jpbi_manuscript_package.docx.</w:t>
        <w:br/>
        <w:t>2. Marked revision: jpbi_manuscript_package_tracked_changes.docx.</w:t>
        <w:br/>
        <w:t>3. Line-numbered clean-manuscript companion: jpbi_clean_manuscript_line_numbered.txt.</w:t>
        <w:br/>
        <w:t>4. Dataset-characterization table and JSON artifact.</w:t>
        <w:br/>
        <w:t>5. Individual main and supplementary figure files.</w:t>
        <w:br/>
        <w:t>6. Updated supplementary material and reproducibility package.</w:t>
      </w:r>
    </w:p>
    <w:p>
      <w:r>
        <w:t>We appreciate the reviewers’ comments, which helped us narrow the estimand, improve methodological transparency, and align the claims with the evidence.</w:t>
      </w:r>
    </w:p>
    <w:p>
      <w:r>
        <w:t>Sincerely,</w:t>
        <w:br/>
        <w:t>Carlos Victor Montefusco-Pereira</w:t>
        <w:br/>
        <w:t>Corresponding author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