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 for the manuscript</w:t>
      </w:r>
    </w:p>
    <w:p>
      <w:r>
        <w:t>Tables are supplied as a separate Word file for submission. Table numbering follows the clean manuscript.</w:t>
      </w:r>
    </w:p>
    <w:p>
      <w:r>
        <w:t>Table 1 summarizes the declared 15-compound universe before model fitting. The response distributions are descriptive summaries of source-provided AUC values, not evidence that the three resources use an identical measurement scale. GDSC1, GDSC2, and CTD² differ in compound composition, assay procedures, cell-line coverage, and response construction; therefore, RMSE values are interpreted within dataset and validation fold, not ranked directly across datasets. Raw feature counts refer to the subsetted DepMap matrices before fold-local selection. Modality coverage is reported for the cell lines represented by the selected response rows.</w:t>
      </w:r>
    </w:p>
    <w:p>
      <w:r>
        <w:t>Table 1. Dataset characteristics for the declared 15-compound universe. AUC values are min / Q1 / median / Q3 / max; feature counts are expression / copy number / damaging mutation; coverage is the percentage of selected response cell lines represented in those modalities.</w:t>
      </w:r>
    </w:p>
    <w:p>
      <w:r>
        <w:t>Table 2. Leave-one-dataset-out RMSE.</w:t>
      </w:r>
    </w:p>
    <w:p>
      <w:r>
        <w:t>Table 3. Declared compounds and response-row counts.</w:t>
      </w:r>
    </w:p>
    <w:p>
      <w:r>
        <w:t>Table 4. Drug-held-out repeated-seed RMSE.</w:t>
      </w:r>
    </w:p>
    <w:p>
      <w:r>
        <w:t>Table 5. Drug-held-out MAE and RMSE by model and seed.</w:t>
      </w:r>
    </w:p>
    <w:p>
      <w:r>
        <w:t>Table 6. Leave-one-dataset-out MAE, RMSE, and evaluation strata.</w:t>
      </w:r>
    </w:p>
    <w:p>
      <w:r>
        <w:t>Table 5. Reproducibility controls and their purpose.</w:t>
      </w:r>
    </w:p>
    <w:p>
      <w:r>
        <w:t>Table 6. Interpretation guardrails for the reported evidence.</w:t>
      </w:r>
    </w:p>
    <w:p>
      <w:r>
        <w:t>Table 7. Minimum fields to preserve with each future result table.</w:t>
      </w:r>
    </w:p>
    <w:p>
      <w:r>
        <w:br w:type="page"/>
      </w:r>
    </w:p>
    <w:p>
      <w:pPr>
        <w:pStyle w:val="Heading1"/>
      </w:pPr>
      <w:r>
        <w:t>Table data</w:t>
      </w:r>
    </w:p>
    <w:p>
      <w:r>
        <w:t>Table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Compounds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Response rows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Cell lines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AUC distribution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Raw features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Modality coverage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4503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940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0.059 / 0.587 / 0.746 / 0.861 / 1.000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19215 / 18613 / 19505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74.0% / 53.2% / 98.9%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4731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947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0.056 / 0.528 / 0.726 / 0.863 / 1.000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19215 / 18613 / 19505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74.0% / 52.8% / 98.9%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3926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808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0.011 / 0.288 / 0.448 / 0.603 / 1.000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19215 / 18613 / 19505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color w:val="000000"/>
                <w:sz w:val="16"/>
              </w:rPr>
              <w:t>98.0% / 70.2% / 98.3%</w:t>
            </w:r>
          </w:p>
        </w:tc>
      </w:tr>
    </w:tbl>
    <w:p/>
    <w:p>
      <w:r>
        <w:t>Table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Held-out compound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Seeds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Mean fusion delta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 helped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 worsened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ACY-1215 (GDSC1:264)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-0.0029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AICA RIBONUCLEOTIDE (GDSC1:1001)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-0.0007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DACOMITINIB (GDSC1:363)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-0.0020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GSK1059615 (GDSC1:374)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+0.0019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NAVITOCLAX (GDSC2:1011)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-0.0014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SR-II-138A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-0.0023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STAUROSPORINE (GDSC2:1034)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+0.0019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TENOVIN-6 (GDSC1:342)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-0.0023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</w:t>
            </w:r>
          </w:p>
        </w:tc>
      </w:tr>
    </w:tbl>
    <w:p/>
    <w:p>
      <w:r>
        <w:t>Table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Held-out dataset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Copy number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0.3231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0.3287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0.3325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0.3238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0.2322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0.2353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0.2339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0.2406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0.2387</w:t>
            </w:r>
          </w:p>
        </w:tc>
      </w:tr>
    </w:tbl>
    <w:p/>
    <w:p>
      <w:r>
        <w:t>Table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Compound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Response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AZD-8055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779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LEPTOMYCIN B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786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OUABAIN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778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SR-II-138A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781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VINCRISTINE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782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ACY-1215 (GDSC1:264)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889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AICA RIBONUCLEOTIDE (GDSC1:1001)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903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DACOMITINIB (GDSC1:363)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889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GSK1059615 (GDSC1:374)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889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TENOVIN-6 (GDSC1:342)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888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MG-132 (GDSC2:1862)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938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MK-2206 (GDSC2:1053)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937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NAVITOCLAX (GDSC2:1011)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937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PICTILISIB (GDSC2:1058)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936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STAUROSPORINE (GDSC2:1034)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938</w:t>
            </w:r>
          </w:p>
        </w:tc>
      </w:tr>
    </w:tbl>
    <w:p/>
    <w:p>
      <w:r>
        <w:t>Table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Seed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Fusion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0.1696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0.1672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-0.0024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0.2538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0.2527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-0.0011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0.2329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0.2326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-0.0003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0.2299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0.2294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-0.0005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0.2776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0.2788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+0.0012</w:t>
            </w:r>
          </w:p>
        </w:tc>
      </w:tr>
    </w:tbl>
    <w:p/>
    <w:p>
      <w:r>
        <w:t>Table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Selected features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0.1398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0.1696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0.1483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0.1786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0.1374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0.1674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0.1370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0.1672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0.2226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0.2538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0.2319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0.2620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0.2208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0.2529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0.2206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0.2527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0.2329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0.1955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0.2299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0.1991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0.2293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0.1937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0.2294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0.2396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0.2776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0.2349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0.2699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0.2787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20260825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0.2397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0.2788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color w:val="000000"/>
                <w:sz w:val="16"/>
              </w:rPr>
              <w:t>6000</w:t>
            </w:r>
          </w:p>
        </w:tc>
      </w:tr>
    </w:tbl>
    <w:p/>
    <w:p>
      <w:r>
        <w:t>Table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Held-out dataset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Train rows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Test rows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RMSE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9144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3906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0.2745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0.3231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9144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3906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0.2779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0.3287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9144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3906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0.2803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0.3325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CTD2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9144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3906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0.2744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0.3238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8592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4458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0.1961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0.2322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8592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4458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0.2015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0.2353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8592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4458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0.1966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0.2342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8592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4458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0.1963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0.2339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expression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8364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4686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0.1973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0.2347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copy_number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8364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4686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0.1980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0.2326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mutation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8364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4686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0.2406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GDSC2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fusion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8364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4686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0.1986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color w:val="000000"/>
                <w:sz w:val="16"/>
              </w:rPr>
              <w:t>0.2387</w:t>
            </w:r>
          </w:p>
        </w:tc>
      </w:tr>
    </w:tbl>
    <w:p/>
    <w:p>
      <w:r>
        <w:t>Table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Drug grouping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GroupShuffleSplit by drug_id_raw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Prevents the same drug response group crossing train/test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Feature selection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Top 2,000 per modality inside training fold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Prevents test-informed feature ranking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Imputation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Training-fold median applied to test rows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Avoids test-derived preprocessing parameters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Scaling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Training-fold standardization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Places feature blocks on a common fitted scale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Learner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Ridge, alpha = 1.0 for every block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Keeps the model comparison controlled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Primary metrics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MAE and RMSE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Reports typical and squared-error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Transfer test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Hold out one full source dataset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Measures domain transfer rather than same-drug replication</w:t>
            </w:r>
          </w:p>
        </w:tc>
      </w:tr>
    </w:tbl>
    <w:p/>
    <w:p>
      <w:r>
        <w:t>Table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Observed result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Permitted interpretation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Not supported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Fusion improves in 3 of 5 drug-held-out seeds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Small conditional improvement under this benchmark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Universal multimodal superiority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Fusion worsens all 3 LOOD folds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Transfer failure in these source-held-out folds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Proof of a biological incompatibility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Availability differs by dataset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Data structure is source-dependent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Missingness caused the error difference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Modality correlations are weak-to-moderate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Some redundancy and complementarity coexist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A causal redundancy mechanism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Ridge is reproducible and controlled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A transparent reference baseline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The best possible learner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15 compounds are declared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Results are bounded to the declared universe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00"/>
                <w:sz w:val="16"/>
              </w:rPr>
              <w:t>Generalization to all compounds</w:t>
            </w:r>
          </w:p>
        </w:tc>
      </w:tr>
    </w:tbl>
    <w:p/>
    <w:p>
      <w:r>
        <w:t>Table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Required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Data provenance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Provider, release label, download date, checksum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Population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Dataset, compound list, cell-line identifier, row 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Preprocessing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Imputation, scaling, filtering, feature-selection 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Split type, grouping unit, seed, train/test 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Modality, learner, hyperparameters, feature 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MAE, RMSE, delta to expression baseline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Complete rows, modality-specific availability, missing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Interpretation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Transfer target, limitations, and whether claims are causal</w:t>
            </w:r>
          </w:p>
        </w:tc>
      </w:tr>
    </w:tbl>
    <w:p/>
    <w:p>
      <w:r>
        <w:t>Table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Seed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Complete rows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Missing rows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Total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1513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1046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2559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1458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1271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2729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20260823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1530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1078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000000"/>
                <w:sz w:val="16"/>
              </w:rPr>
              <w:t>2608</w:t>
            </w:r>
          </w:p>
        </w:tc>
      </w:tr>
    </w:tbl>
    <w:p/>
    <w:p>
      <w:r>
        <w:t>Table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Evaluation universe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15 declared compounds across GDSC1, GDSC2, CTD²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Drug-held-out validation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5 persisted seeds; fold-local top-2,000 features from full raw modality universes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Cross-study validation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LOOD folds for CTD², GDSC1, and GDSC2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MoA mapping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15/15 declared compounds; 5/316 full GDSC1 universe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Raw data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000000"/>
                <w:sz w:val="16"/>
              </w:rPr>
              <w:t>Provider files not redistributed; checksums recorded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