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20"/>
        </w:rPr>
        <w:t>When More Omics Is Not Always Better: Drug- and Dataset-Conditional Value of Multimodal Cancer Pharmacogenomics</w:t>
      </w:r>
    </w:p>
    <w:p>
      <w:pPr>
        <w:jc w:val="center"/>
      </w:pPr>
      <w:r>
        <w:rPr>
          <w:rFonts w:ascii="Arial" w:hAnsi="Arial"/>
          <w:b/>
          <w:color w:val="000000"/>
          <w:sz w:val="20"/>
        </w:rPr>
        <w:t>Carlos Victor Montefusco-Pereira</w:t>
        <w:br/>
      </w:r>
      <w:r>
        <w:rPr>
          <w:rFonts w:ascii="Arial" w:hAnsi="Arial"/>
          <w:color w:val="000000"/>
          <w:sz w:val="20"/>
        </w:rPr>
        <w:t>Independent Researcher in Data Science and AI for Pharmaceutical Industry</w:t>
        <w:br/>
        <w:t>Friedrich-Wilhelm 28, 12103 Berlin, Germany</w:t>
        <w:br/>
        <w:t>Corresponding author: cmontefusco@gmail.com</w:t>
      </w:r>
    </w:p>
    <w:p>
      <w:pPr>
        <w:jc w:val="both"/>
      </w:pPr>
    </w:p>
    <w:p>
      <w:pPr>
        <w:jc w:val="both"/>
      </w:pPr>
      <w:r>
        <w:rPr>
          <w:rFonts w:ascii="Arial" w:hAnsi="Arial"/>
          <w:b/>
          <w:color w:val="000000"/>
          <w:sz w:val="20"/>
        </w:rPr>
        <w:t xml:space="preserve">Article type: </w:t>
      </w:r>
      <w:r>
        <w:rPr>
          <w:rFonts w:ascii="Arial" w:hAnsi="Arial"/>
          <w:color w:val="000000"/>
          <w:sz w:val="20"/>
        </w:rPr>
        <w:t>Research article</w:t>
      </w:r>
    </w:p>
    <w:p>
      <w:pPr>
        <w:jc w:val="both"/>
      </w:pPr>
      <w:r>
        <w:rPr>
          <w:rFonts w:ascii="Arial" w:hAnsi="Arial"/>
          <w:b/>
          <w:color w:val="000000"/>
          <w:sz w:val="20"/>
        </w:rPr>
        <w:t xml:space="preserve">Declarations: </w:t>
      </w:r>
      <w:r>
        <w:rPr>
          <w:rFonts w:ascii="Arial" w:hAnsi="Arial"/>
          <w:color w:val="000000"/>
          <w:sz w:val="20"/>
        </w:rP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pPr>
        <w:jc w:val="both"/>
      </w:pPr>
      <w:r>
        <w:rPr>
          <w:rFonts w:ascii="Arial" w:hAnsi="Arial"/>
          <w:color w:val="000000"/>
          <w:sz w:val="20"/>
        </w:rPr>
        <w:br w:type="page"/>
      </w:r>
    </w:p>
    <w:p>
      <w:pPr>
        <w:pStyle w:val="Heading1"/>
        <w:keepNext/>
        <w:jc w:val="both"/>
      </w:pPr>
      <w:r>
        <w:rPr>
          <w:rFonts w:ascii="Arial" w:hAnsi="Arial"/>
          <w:color w:val="000000"/>
          <w:sz w:val="20"/>
        </w:rPr>
        <w:t>Abstract</w:t>
      </w:r>
    </w:p>
    <w:p>
      <w:pPr>
        <w:spacing w:after="120" w:line="259" w:lineRule="auto"/>
        <w:jc w:val="both"/>
      </w:pPr>
      <w:r>
        <w:rPr>
          <w:rFonts w:ascii="Arial" w:hAnsi="Arial"/>
          <w:color w:val="000000"/>
          <w:sz w:val="20"/>
        </w:rP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pPr>
        <w:jc w:val="both"/>
      </w:pPr>
      <w:r>
        <w:rPr>
          <w:rFonts w:ascii="Arial" w:hAnsi="Arial"/>
          <w:b/>
          <w:color w:val="000000"/>
          <w:sz w:val="20"/>
        </w:rPr>
        <w:t xml:space="preserve">Keywords: </w:t>
      </w:r>
      <w:r>
        <w:rPr>
          <w:rFonts w:ascii="Arial" w:hAnsi="Arial"/>
          <w:color w:val="000000"/>
          <w:sz w:val="20"/>
        </w:rPr>
        <w:t>information fusion; drug response; multi-omics; cancer; missing data; cross-study validation</w:t>
      </w:r>
    </w:p>
    <w:p>
      <w:pPr>
        <w:pStyle w:val="Heading1"/>
        <w:keepNext/>
        <w:jc w:val="both"/>
      </w:pPr>
      <w:r>
        <w:rPr>
          <w:rFonts w:ascii="Arial" w:hAnsi="Arial"/>
          <w:color w:val="000000"/>
          <w:sz w:val="20"/>
        </w:rPr>
        <w:t>1. Introduction</w:t>
      </w:r>
    </w:p>
    <w:p>
      <w:pPr>
        <w:spacing w:after="120" w:line="259" w:lineRule="auto"/>
        <w:jc w:val="both"/>
      </w:pPr>
      <w:r>
        <w:rPr>
          <w:rFonts w:ascii="Arial" w:hAnsi="Arial"/>
          <w:color w:val="000000"/>
          <w:sz w:val="20"/>
        </w:rP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jc w:val="both"/>
      </w:pPr>
      <w:r>
        <w:rPr>
          <w:rFonts w:ascii="Arial" w:hAnsi="Arial"/>
          <w:color w:val="000000"/>
          <w:sz w:val="20"/>
        </w:rP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jc w:val="both"/>
      </w:pPr>
      <w:r>
        <w:rPr>
          <w:rFonts w:ascii="Arial" w:hAnsi="Arial"/>
          <w:color w:val="000000"/>
          <w:sz w:val="20"/>
        </w:rP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jc w:val="both"/>
      </w:pPr>
      <w:r>
        <w:rPr>
          <w:rFonts w:ascii="Arial" w:hAnsi="Arial"/>
          <w:color w:val="000000"/>
          <w:sz w:val="20"/>
        </w:rP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jc w:val="both"/>
      </w:pPr>
      <w:r>
        <w:rPr>
          <w:rFonts w:ascii="Arial" w:hAnsi="Arial"/>
          <w:color w:val="000000"/>
          <w:sz w:val="20"/>
        </w:rP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jc w:val="both"/>
      </w:pPr>
      <w:r>
        <w:rPr>
          <w:rFonts w:ascii="Arial" w:hAnsi="Arial"/>
          <w:color w:val="000000"/>
          <w:sz w:val="20"/>
        </w:rP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jc w:val="both"/>
      </w:pPr>
      <w:r>
        <w:rPr>
          <w:rFonts w:ascii="Arial" w:hAnsi="Arial"/>
          <w:color w:val="000000"/>
          <w:sz w:val="20"/>
        </w:rP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jc w:val="both"/>
      </w:pPr>
      <w:r>
        <w:rPr>
          <w:rFonts w:ascii="Arial" w:hAnsi="Arial"/>
          <w:color w:val="000000"/>
          <w:sz w:val="20"/>
        </w:rP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jc w:val="both"/>
      </w:pPr>
      <w:r>
        <w:rPr>
          <w:rFonts w:ascii="Arial" w:hAnsi="Arial"/>
          <w:color w:val="000000"/>
          <w:sz w:val="20"/>
        </w:rP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jc w:val="both"/>
      </w:pPr>
      <w:r>
        <w:rPr>
          <w:rFonts w:ascii="Arial" w:hAnsi="Arial"/>
          <w:color w:val="000000"/>
          <w:sz w:val="20"/>
        </w:rP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jc w:val="center"/>
      </w:pPr>
      <w:r>
        <w:rPr>
          <w:rFonts w:ascii="Arial" w:hAnsi="Arial"/>
          <w:color w:val="000000"/>
          <w:sz w:val="20"/>
        </w:rPr>
        <w:drawing>
          <wp:inline xmlns:a="http://schemas.openxmlformats.org/drawingml/2006/main" xmlns:pic="http://schemas.openxmlformats.org/drawingml/2006/picture">
            <wp:extent cx="5303520" cy="3371229"/>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303520" cy="3371229"/>
                    </a:xfrm>
                    <a:prstGeom prst="rect"/>
                  </pic:spPr>
                </pic:pic>
              </a:graphicData>
            </a:graphic>
          </wp:inline>
        </w:drawing>
      </w:r>
    </w:p>
    <w:p>
      <w:pPr>
        <w:keepNext/>
        <w:jc w:val="center"/>
      </w:pPr>
      <w:r>
        <w:rPr>
          <w:rFonts w:ascii="Arial" w:hAnsi="Arial"/>
          <w:color w:val="000000"/>
          <w:sz w:val="20"/>
        </w:rPr>
        <w:t>Figure 1. Decision framework for applying the benchmark in pharmaceutical data science. The main branch emphasizes intended use, drug-specific inputs, missingness, validation estimand, and uncertainty reporting.</w:t>
      </w:r>
    </w:p>
    <w:p>
      <w:pPr>
        <w:spacing w:after="120" w:line="259" w:lineRule="auto"/>
        <w:jc w:val="both"/>
      </w:pPr>
      <w:r>
        <w:rPr>
          <w:rFonts w:ascii="Arial" w:hAnsi="Arial"/>
          <w:color w:val="000000"/>
          <w:sz w:val="20"/>
        </w:rP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jc w:val="both"/>
      </w:pPr>
      <w:r>
        <w:rPr>
          <w:rFonts w:ascii="Arial" w:hAnsi="Arial"/>
          <w:color w:val="000000"/>
          <w:sz w:val="20"/>
        </w:rP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jc w:val="both"/>
      </w:pPr>
      <w:r>
        <w:rPr>
          <w:rFonts w:ascii="Arial" w:hAnsi="Arial"/>
          <w:color w:val="000000"/>
          <w:sz w:val="20"/>
        </w:rPr>
        <w:t>2. Methods</w:t>
      </w:r>
    </w:p>
    <w:p>
      <w:pPr>
        <w:spacing w:after="120" w:line="259" w:lineRule="auto"/>
        <w:jc w:val="both"/>
      </w:pPr>
      <w:r>
        <w:rPr>
          <w:rFonts w:ascii="Arial" w:hAnsi="Arial"/>
          <w:color w:val="000000"/>
          <w:sz w:val="20"/>
        </w:rP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jc w:val="both"/>
      </w:pPr>
      <w:r>
        <w:rPr>
          <w:rFonts w:ascii="Arial" w:hAnsi="Arial"/>
          <w:color w:val="000000"/>
          <w:sz w:val="20"/>
        </w:rPr>
        <w:t>2.1. Evaluation scope</w:t>
      </w:r>
    </w:p>
    <w:p>
      <w:pPr>
        <w:spacing w:after="120" w:line="259" w:lineRule="auto"/>
        <w:jc w:val="both"/>
      </w:pPr>
      <w:r>
        <w:rPr>
          <w:rFonts w:ascii="Arial" w:hAnsi="Arial"/>
          <w:color w:val="000000"/>
          <w:sz w:val="20"/>
        </w:rP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jc w:val="both"/>
      </w:pPr>
      <w:r>
        <w:rPr>
          <w:rFonts w:ascii="Arial" w:hAnsi="Arial"/>
          <w:color w:val="000000"/>
          <w:sz w:val="20"/>
        </w:rPr>
        <w:t>2.2. Metrics and interpretation</w:t>
      </w:r>
    </w:p>
    <w:p>
      <w:pPr>
        <w:spacing w:after="120" w:line="259" w:lineRule="auto"/>
        <w:jc w:val="both"/>
      </w:pPr>
      <w:r>
        <w:rPr>
          <w:rFonts w:ascii="Arial" w:hAnsi="Arial"/>
          <w:color w:val="000000"/>
          <w:sz w:val="20"/>
        </w:rP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jc w:val="both"/>
      </w:pPr>
      <w:r>
        <w:rPr>
          <w:rFonts w:ascii="Arial" w:hAnsi="Arial"/>
          <w:color w:val="000000"/>
          <w:sz w:val="20"/>
        </w:rPr>
        <w:t>2.3. Dataset harmonization and response definition</w:t>
      </w:r>
    </w:p>
    <w:p>
      <w:pPr>
        <w:spacing w:after="120" w:line="259" w:lineRule="auto"/>
        <w:jc w:val="both"/>
      </w:pPr>
      <w:r>
        <w:rPr>
          <w:rFonts w:ascii="Arial" w:hAnsi="Arial"/>
          <w:color w:val="000000"/>
          <w:sz w:val="20"/>
        </w:rP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jc w:val="both"/>
      </w:pPr>
      <w:r>
        <w:rPr>
          <w:rFonts w:ascii="Arial" w:hAnsi="Arial"/>
          <w:color w:val="000000"/>
          <w:sz w:val="20"/>
        </w:rPr>
        <w:t>2.4. Feature construction and leakage control</w:t>
      </w:r>
    </w:p>
    <w:p>
      <w:pPr>
        <w:spacing w:after="120" w:line="259" w:lineRule="auto"/>
        <w:jc w:val="both"/>
      </w:pPr>
      <w:r>
        <w:rPr>
          <w:rFonts w:ascii="Arial" w:hAnsi="Arial"/>
          <w:color w:val="000000"/>
          <w:sz w:val="20"/>
        </w:rP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jc w:val="both"/>
      </w:pPr>
      <w:r>
        <w:rPr>
          <w:rFonts w:ascii="Arial" w:hAnsi="Arial"/>
          <w:color w:val="000000"/>
          <w:sz w:val="20"/>
        </w:rP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jc w:val="both"/>
      </w:pPr>
      <w:r>
        <w:rPr>
          <w:rFonts w:ascii="Arial" w:hAnsi="Arial"/>
          <w:color w:val="000000"/>
          <w:sz w:val="20"/>
        </w:rP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jc w:val="both"/>
      </w:pPr>
      <w:r>
        <w:rPr>
          <w:rFonts w:ascii="Arial" w:hAnsi="Arial"/>
          <w:color w:val="000000"/>
          <w:sz w:val="20"/>
        </w:rP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jc w:val="both"/>
      </w:pPr>
      <w:r>
        <w:rPr>
          <w:rFonts w:ascii="Arial" w:hAnsi="Arial"/>
          <w:color w:val="000000"/>
          <w:sz w:val="20"/>
        </w:rP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jc w:val="both"/>
      </w:pPr>
      <w:r>
        <w:rPr>
          <w:rFonts w:ascii="Arial" w:hAnsi="Arial"/>
          <w:color w:val="000000"/>
          <w:sz w:val="20"/>
        </w:rP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jc w:val="both"/>
      </w:pPr>
      <w:r>
        <w:rPr>
          <w:rFonts w:ascii="Arial" w:hAnsi="Arial"/>
          <w:color w:val="000000"/>
          <w:sz w:val="20"/>
        </w:rP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jc w:val="both"/>
      </w:pPr>
      <w:r>
        <w:rPr>
          <w:rFonts w:ascii="Arial" w:hAnsi="Arial"/>
          <w:color w:val="000000"/>
          <w:sz w:val="20"/>
        </w:rP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jc w:val="both"/>
      </w:pPr>
      <w:r>
        <w:rPr>
          <w:rFonts w:ascii="Arial" w:hAnsi="Arial"/>
          <w:color w:val="000000"/>
          <w:sz w:val="20"/>
        </w:rP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jc w:val="both"/>
      </w:pPr>
      <w:r>
        <w:rPr>
          <w:rFonts w:ascii="Arial" w:hAnsi="Arial"/>
          <w:color w:val="000000"/>
          <w:sz w:val="20"/>
        </w:rPr>
        <w:t>2.5. Model specification and baselines</w:t>
      </w:r>
    </w:p>
    <w:p>
      <w:pPr>
        <w:spacing w:after="120" w:line="259" w:lineRule="auto"/>
        <w:jc w:val="both"/>
      </w:pPr>
      <w:r>
        <w:rPr>
          <w:rFonts w:ascii="Arial" w:hAnsi="Arial"/>
          <w:color w:val="000000"/>
          <w:sz w:val="20"/>
        </w:rP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jc w:val="both"/>
      </w:pPr>
      <w:r>
        <w:rPr>
          <w:rFonts w:ascii="Arial" w:hAnsi="Arial"/>
          <w:color w:val="000000"/>
          <w:sz w:val="20"/>
        </w:rP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jc w:val="both"/>
      </w:pPr>
      <w:r>
        <w:rPr>
          <w:rFonts w:ascii="Arial" w:hAnsi="Arial"/>
          <w:color w:val="000000"/>
          <w:sz w:val="20"/>
        </w:rP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jc w:val="both"/>
      </w:pPr>
      <w:r>
        <w:rPr>
          <w:rFonts w:ascii="Arial" w:hAnsi="Arial"/>
          <w:color w:val="000000"/>
          <w:sz w:val="20"/>
        </w:rP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jc w:val="both"/>
      </w:pPr>
      <w:r>
        <w:rPr>
          <w:rFonts w:ascii="Arial" w:hAnsi="Arial"/>
          <w:color w:val="000000"/>
          <w:sz w:val="20"/>
        </w:rPr>
        <w:t>2.6. Split manifests and reproducibility</w:t>
      </w:r>
    </w:p>
    <w:p>
      <w:pPr>
        <w:spacing w:after="120" w:line="259" w:lineRule="auto"/>
        <w:jc w:val="both"/>
      </w:pPr>
      <w:r>
        <w:rPr>
          <w:rFonts w:ascii="Arial" w:hAnsi="Arial"/>
          <w:color w:val="000000"/>
          <w:sz w:val="20"/>
        </w:rP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jc w:val="both"/>
      </w:pPr>
      <w:r>
        <w:rPr>
          <w:rFonts w:ascii="Arial" w:hAnsi="Arial"/>
          <w:color w:val="000000"/>
          <w:sz w:val="20"/>
        </w:rPr>
        <w:t>2.7. Analysis sequence and implementation controls</w:t>
      </w:r>
    </w:p>
    <w:p>
      <w:pPr>
        <w:spacing w:after="120" w:line="259" w:lineRule="auto"/>
        <w:jc w:val="both"/>
      </w:pPr>
      <w:r>
        <w:rPr>
          <w:rFonts w:ascii="Arial" w:hAnsi="Arial"/>
          <w:color w:val="000000"/>
          <w:sz w:val="20"/>
        </w:rP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jc w:val="both"/>
      </w:pPr>
      <w:r>
        <w:rPr>
          <w:rFonts w:ascii="Arial" w:hAnsi="Arial"/>
          <w:color w:val="000000"/>
          <w:sz w:val="20"/>
        </w:rP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jc w:val="both"/>
      </w:pPr>
      <w:r>
        <w:rPr>
          <w:rFonts w:ascii="Arial" w:hAnsi="Arial"/>
          <w:color w:val="000000"/>
          <w:sz w:val="20"/>
        </w:rP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jc w:val="both"/>
      </w:pPr>
      <w:r>
        <w:rPr>
          <w:rFonts w:ascii="Arial" w:hAnsi="Arial"/>
          <w:color w:val="000000"/>
          <w:sz w:val="20"/>
        </w:rP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jc w:val="both"/>
      </w:pPr>
      <w:r>
        <w:rPr>
          <w:rFonts w:ascii="Arial" w:hAnsi="Arial"/>
          <w:color w:val="000000"/>
          <w:sz w:val="20"/>
        </w:rP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jc w:val="both"/>
      </w:pPr>
      <w:r>
        <w:rPr>
          <w:rFonts w:ascii="Arial" w:hAnsi="Arial"/>
          <w:color w:val="000000"/>
          <w:sz w:val="20"/>
        </w:rPr>
        <w:t>3. Results</w:t>
      </w:r>
    </w:p>
    <w:p>
      <w:pPr>
        <w:pStyle w:val="Heading2"/>
        <w:keepNext/>
        <w:jc w:val="both"/>
      </w:pPr>
      <w:r>
        <w:rPr>
          <w:rFonts w:ascii="Arial" w:hAnsi="Arial"/>
          <w:color w:val="000000"/>
          <w:sz w:val="20"/>
        </w:rPr>
        <w:t>3.1. Dataset characteristics and response scales</w:t>
      </w:r>
    </w:p>
    <w:p>
      <w:pPr>
        <w:spacing w:after="120" w:line="259" w:lineRule="auto"/>
        <w:jc w:val="both"/>
      </w:pPr>
      <w:r>
        <w:rPr>
          <w:rFonts w:ascii="Arial" w:hAnsi="Arial"/>
          <w:color w:val="000000"/>
          <w:sz w:val="20"/>
        </w:rP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jc w:val="both"/>
      </w:pPr>
      <w:r>
        <w:rPr>
          <w:rFonts w:ascii="Arial" w:hAnsi="Arial"/>
          <w:b/>
          <w:color w:val="000000"/>
          <w:sz w:val="20"/>
        </w:rPr>
        <w:t xml:space="preserve">Table 1. </w:t>
      </w:r>
      <w:r>
        <w:rPr>
          <w:rFonts w:ascii="Arial" w:hAnsi="Arial"/>
          <w:color w:val="000000"/>
          <w:sz w:val="20"/>
        </w:rPr>
        <w:t>Dataset characteristics for the declared 15-compound universe. AUC values are min / Q1 / median / Q3 / max; feature counts are expression / copy number / damaging mutation; coverage is the percentage of selected response cell lines represented in those modalities.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Compounds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Response rows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Cell lines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AUC distribution</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Raw features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Modality coverage</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GDSC1</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4503</w:t>
            </w:r>
          </w:p>
        </w:tc>
        <w:tc>
          <w:tcPr>
            <w:tcW w:type="dxa" w:w="1399"/>
            <w:vAlign w:val="center"/>
          </w:tcPr>
          <w:p>
            <w:pPr>
              <w:spacing w:after="0"/>
              <w:jc w:val="both"/>
            </w:pPr>
            <w:r>
              <w:rPr>
                <w:rFonts w:ascii="Arial" w:hAnsi="Arial"/>
                <w:color w:val="000000"/>
                <w:sz w:val="20"/>
              </w:rPr>
            </w:r>
            <w:r>
              <w:rPr>
                <w:rFonts w:ascii="Arial" w:hAnsi="Arial"/>
                <w:b w:val="0"/>
                <w:color w:val="000000"/>
                <w:sz w:val="20"/>
              </w:rPr>
              <w:t>940</w:t>
            </w:r>
          </w:p>
        </w:tc>
        <w:tc>
          <w:tcPr>
            <w:tcW w:type="dxa" w:w="1399"/>
            <w:vAlign w:val="center"/>
          </w:tcPr>
          <w:p>
            <w:pPr>
              <w:spacing w:after="0"/>
              <w:jc w:val="both"/>
            </w:pPr>
            <w:r>
              <w:rPr>
                <w:rFonts w:ascii="Arial" w:hAnsi="Arial"/>
                <w:color w:val="000000"/>
                <w:sz w:val="20"/>
              </w:rPr>
            </w:r>
            <w:r>
              <w:rPr>
                <w:rFonts w:ascii="Arial" w:hAnsi="Arial"/>
                <w:b w:val="0"/>
                <w:color w:val="000000"/>
                <w:sz w:val="20"/>
              </w:rPr>
              <w:t>0.059 / 0.587 / 0.746 / 0.861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53.2%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4731</w:t>
            </w:r>
          </w:p>
        </w:tc>
        <w:tc>
          <w:tcPr>
            <w:tcW w:type="dxa" w:w="1399"/>
            <w:vAlign w:val="center"/>
          </w:tcPr>
          <w:p>
            <w:pPr>
              <w:spacing w:after="0"/>
              <w:jc w:val="both"/>
            </w:pPr>
            <w:r>
              <w:rPr>
                <w:rFonts w:ascii="Arial" w:hAnsi="Arial"/>
                <w:color w:val="000000"/>
                <w:sz w:val="20"/>
              </w:rPr>
            </w:r>
            <w:r>
              <w:rPr>
                <w:rFonts w:ascii="Arial" w:hAnsi="Arial"/>
                <w:b w:val="0"/>
                <w:color w:val="000000"/>
                <w:sz w:val="20"/>
              </w:rPr>
              <w:t>947</w:t>
            </w:r>
          </w:p>
        </w:tc>
        <w:tc>
          <w:tcPr>
            <w:tcW w:type="dxa" w:w="1399"/>
            <w:vAlign w:val="center"/>
          </w:tcPr>
          <w:p>
            <w:pPr>
              <w:spacing w:after="0"/>
              <w:jc w:val="both"/>
            </w:pPr>
            <w:r>
              <w:rPr>
                <w:rFonts w:ascii="Arial" w:hAnsi="Arial"/>
                <w:color w:val="000000"/>
                <w:sz w:val="20"/>
              </w:rPr>
            </w:r>
            <w:r>
              <w:rPr>
                <w:rFonts w:ascii="Arial" w:hAnsi="Arial"/>
                <w:b w:val="0"/>
                <w:color w:val="000000"/>
                <w:sz w:val="20"/>
              </w:rPr>
              <w:t>0.056 / 0.528 / 0.726 / 0.863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52.8%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CTD2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3926</w:t>
            </w:r>
          </w:p>
        </w:tc>
        <w:tc>
          <w:tcPr>
            <w:tcW w:type="dxa" w:w="1399"/>
            <w:vAlign w:val="center"/>
          </w:tcPr>
          <w:p>
            <w:pPr>
              <w:spacing w:after="0"/>
              <w:jc w:val="both"/>
            </w:pPr>
            <w:r>
              <w:rPr>
                <w:rFonts w:ascii="Arial" w:hAnsi="Arial"/>
                <w:color w:val="000000"/>
                <w:sz w:val="20"/>
              </w:rPr>
            </w:r>
            <w:r>
              <w:rPr>
                <w:rFonts w:ascii="Arial" w:hAnsi="Arial"/>
                <w:b w:val="0"/>
                <w:color w:val="000000"/>
                <w:sz w:val="20"/>
              </w:rPr>
              <w:t>808</w:t>
            </w:r>
          </w:p>
        </w:tc>
        <w:tc>
          <w:tcPr>
            <w:tcW w:type="dxa" w:w="1399"/>
            <w:vAlign w:val="center"/>
          </w:tcPr>
          <w:p>
            <w:pPr>
              <w:spacing w:after="0"/>
              <w:jc w:val="both"/>
            </w:pPr>
            <w:r>
              <w:rPr>
                <w:rFonts w:ascii="Arial" w:hAnsi="Arial"/>
                <w:color w:val="000000"/>
                <w:sz w:val="20"/>
              </w:rPr>
            </w:r>
            <w:r>
              <w:rPr>
                <w:rFonts w:ascii="Arial" w:hAnsi="Arial"/>
                <w:b w:val="0"/>
                <w:color w:val="000000"/>
                <w:sz w:val="20"/>
              </w:rPr>
              <w:t>0.011 / 0.288 / 0.448 / 0.603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98.0% / 70.2% / 98.3%</w:t>
            </w:r>
          </w:p>
        </w:tc>
      </w:tr>
    </w:tbl>
    <w:p>
      <w:pPr>
        <w:spacing w:after="40"/>
        <w:jc w:val="both"/>
      </w:pPr>
    </w:p>
    <w:p>
      <w:pPr>
        <w:pStyle w:val="Heading2"/>
        <w:keepNext/>
        <w:jc w:val="both"/>
      </w:pPr>
      <w:r>
        <w:rPr>
          <w:rFonts w:ascii="Arial" w:hAnsi="Arial"/>
          <w:color w:val="000000"/>
          <w:sz w:val="20"/>
        </w:rPr>
        <w:t>3.2. Drug-heldout validation</w:t>
      </w:r>
    </w:p>
    <w:p>
      <w:pPr>
        <w:spacing w:after="120" w:line="259" w:lineRule="auto"/>
        <w:jc w:val="both"/>
      </w:pPr>
      <w:r>
        <w:rPr>
          <w:rFonts w:ascii="Arial" w:hAnsi="Arial"/>
          <w:color w:val="000000"/>
          <w:sz w:val="20"/>
        </w:rP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Tables 4 and 5 and Supplementary Table S3.</w:t>
      </w:r>
    </w:p>
    <w:p>
      <w:pPr>
        <w:spacing w:after="120" w:line="259" w:lineRule="auto"/>
        <w:jc w:val="both"/>
      </w:pPr>
      <w:r>
        <w:rPr>
          <w:rFonts w:ascii="Arial" w:hAnsi="Arial"/>
          <w:color w:val="000000"/>
          <w:sz w:val="20"/>
        </w:rP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pPr>
        <w:jc w:val="both"/>
      </w:pPr>
      <w:r>
        <w:rPr>
          <w:rFonts w:ascii="Arial" w:hAnsi="Arial"/>
          <w:b/>
          <w:color w:val="000000"/>
          <w:sz w:val="20"/>
        </w:rPr>
        <w:t xml:space="preserve">Supplementary Table S3 reports individual compound results. </w:t>
      </w:r>
      <w:r>
        <w:rPr>
          <w:rFonts w:ascii="Arial" w:hAnsi="Arial"/>
          <w:color w:val="000000"/>
          <w:sz w:val="20"/>
        </w:rP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compound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Seeds</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Mean fusion delta</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helped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worsened</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-0.0029</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-0.0007</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SR-II-138A</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bl>
    <w:p>
      <w:pPr>
        <w:spacing w:after="40"/>
        <w:jc w:val="both"/>
      </w:pPr>
    </w:p>
    <w:p>
      <w:pPr>
        <w:pStyle w:val="Heading2"/>
        <w:keepNext/>
        <w:jc w:val="both"/>
      </w:pPr>
      <w:r>
        <w:rPr>
          <w:rFonts w:ascii="Arial" w:hAnsi="Arial"/>
          <w:color w:val="000000"/>
          <w:sz w:val="20"/>
        </w:rPr>
        <w:t>3.3. Cross-study transfer</w:t>
      </w:r>
    </w:p>
    <w:p>
      <w:pPr>
        <w:spacing w:after="120" w:line="259" w:lineRule="auto"/>
        <w:jc w:val="both"/>
      </w:pPr>
      <w:r>
        <w:rPr>
          <w:rFonts w:ascii="Arial" w:hAnsi="Arial"/>
          <w:color w:val="000000"/>
          <w:sz w:val="20"/>
        </w:rP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jc w:val="center"/>
      </w:pPr>
      <w:r>
        <w:rPr>
          <w:rFonts w:ascii="Arial" w:hAnsi="Arial"/>
          <w:color w:val="000000"/>
          <w:sz w:val="20"/>
        </w:rPr>
        <w:drawing>
          <wp:inline xmlns:a="http://schemas.openxmlformats.org/drawingml/2006/main" xmlns:pic="http://schemas.openxmlformats.org/drawingml/2006/picture">
            <wp:extent cx="5303520" cy="3152039"/>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303520" cy="3152039"/>
                    </a:xfrm>
                    <a:prstGeom prst="rect"/>
                  </pic:spPr>
                </pic:pic>
              </a:graphicData>
            </a:graphic>
          </wp:inline>
        </w:drawing>
      </w:r>
    </w:p>
    <w:p>
      <w:pPr>
        <w:keepNext/>
        <w:jc w:val="center"/>
      </w:pPr>
      <w:r>
        <w:rPr>
          <w:rFonts w:ascii="Arial" w:hAnsi="Arial"/>
          <w:color w:val="000000"/>
          <w:sz w:val="20"/>
        </w:rPr>
        <w:t>Figure 2. High-level leave-one-dataset-out comparison. This figure summarizes the cross-study transfer stress test; it is not a cross-dataset ranking of RMSE difficulty.</w:t>
      </w:r>
    </w:p>
    <w:p>
      <w:pPr>
        <w:jc w:val="center"/>
      </w:pPr>
      <w:r>
        <w:rPr>
          <w:rFonts w:ascii="Arial" w:hAnsi="Arial"/>
          <w:color w:val="000000"/>
          <w:sz w:val="20"/>
        </w:rPr>
        <w:drawing>
          <wp:inline xmlns:a="http://schemas.openxmlformats.org/drawingml/2006/main" xmlns:pic="http://schemas.openxmlformats.org/drawingml/2006/picture">
            <wp:extent cx="5303520" cy="2958405"/>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303520" cy="2958405"/>
                    </a:xfrm>
                    <a:prstGeom prst="rect"/>
                  </pic:spPr>
                </pic:pic>
              </a:graphicData>
            </a:graphic>
          </wp:inline>
        </w:drawing>
      </w:r>
    </w:p>
    <w:p>
      <w:pPr>
        <w:keepNext/>
        <w:jc w:val="center"/>
      </w:pPr>
      <w:r>
        <w:rPr>
          <w:rFonts w:ascii="Arial" w:hAnsi="Arial"/>
          <w:color w:val="000000"/>
          <w:sz w:val="20"/>
        </w:rPr>
        <w:t>Figure 3. Fusion-minus-expression contrast and modality conflict. Negative fusion deltas favor fusion within the corresponding fold; values are not comparable across response scales.</w:t>
      </w:r>
    </w:p>
    <w:p>
      <w:pPr>
        <w:spacing w:after="120" w:line="259" w:lineRule="auto"/>
        <w:jc w:val="both"/>
      </w:pPr>
      <w:r>
        <w:rPr>
          <w:rFonts w:ascii="Arial" w:hAnsi="Arial"/>
          <w:color w:val="000000"/>
          <w:sz w:val="20"/>
        </w:rP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jc w:val="both"/>
      </w:pPr>
      <w:r>
        <w:rPr>
          <w:rFonts w:ascii="Arial" w:hAnsi="Arial"/>
          <w:color w:val="000000"/>
          <w:sz w:val="20"/>
        </w:rPr>
        <w:t>3.4. Missingness and redundancy</w:t>
      </w:r>
    </w:p>
    <w:p>
      <w:pPr>
        <w:spacing w:after="120" w:line="259" w:lineRule="auto"/>
        <w:jc w:val="both"/>
      </w:pPr>
      <w:r>
        <w:rPr>
          <w:rFonts w:ascii="Arial" w:hAnsi="Arial"/>
          <w:color w:val="000000"/>
          <w:sz w:val="20"/>
        </w:rP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jc w:val="center"/>
      </w:pPr>
      <w:r>
        <w:rPr>
          <w:rFonts w:ascii="Arial" w:hAnsi="Arial"/>
          <w:color w:val="000000"/>
          <w:sz w:val="20"/>
        </w:rPr>
        <w:drawing>
          <wp:inline xmlns:a="http://schemas.openxmlformats.org/drawingml/2006/main" xmlns:pic="http://schemas.openxmlformats.org/drawingml/2006/picture">
            <wp:extent cx="5303520" cy="3376314"/>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303520" cy="3376314"/>
                    </a:xfrm>
                    <a:prstGeom prst="rect"/>
                  </pic:spPr>
                </pic:pic>
              </a:graphicData>
            </a:graphic>
          </wp:inline>
        </w:drawing>
      </w:r>
    </w:p>
    <w:p>
      <w:pPr>
        <w:keepNext/>
        <w:jc w:val="center"/>
      </w:pPr>
      <w:r>
        <w:rPr>
          <w:rFonts w:ascii="Arial" w:hAnsi="Arial"/>
          <w:color w:val="000000"/>
          <w:sz w:val="20"/>
        </w:rPr>
        <w:t>Figure 4. Outer-join modality availability. This supports the missingness analysis and is not a performance metric.</w:t>
      </w:r>
    </w:p>
    <w:p>
      <w:pPr>
        <w:spacing w:after="120" w:line="259" w:lineRule="auto"/>
        <w:jc w:val="both"/>
      </w:pPr>
      <w:r>
        <w:rPr>
          <w:rFonts w:ascii="Arial" w:hAnsi="Arial"/>
          <w:color w:val="000000"/>
          <w:sz w:val="20"/>
        </w:rP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jc w:val="both"/>
      </w:pPr>
      <w:r>
        <w:rPr>
          <w:rFonts w:ascii="Arial" w:hAnsi="Arial"/>
          <w:color w:val="000000"/>
          <w:sz w:val="20"/>
        </w:rPr>
        <w:t>3.5. Interpretation against the research questions</w:t>
      </w:r>
    </w:p>
    <w:p>
      <w:pPr>
        <w:spacing w:after="120" w:line="259" w:lineRule="auto"/>
        <w:jc w:val="both"/>
      </w:pPr>
      <w:r>
        <w:rPr>
          <w:rFonts w:ascii="Arial" w:hAnsi="Arial"/>
          <w:color w:val="000000"/>
          <w:sz w:val="20"/>
        </w:rP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jc w:val="both"/>
      </w:pPr>
      <w:r>
        <w:rPr>
          <w:rFonts w:ascii="Arial" w:hAnsi="Arial"/>
          <w:color w:val="000000"/>
          <w:sz w:val="20"/>
        </w:rP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pPr>
        <w:jc w:val="both"/>
      </w:pPr>
      <w:r>
        <w:rPr>
          <w:rFonts w:ascii="Arial" w:hAnsi="Arial"/>
          <w:b/>
          <w:color w:val="000000"/>
          <w:sz w:val="20"/>
        </w:rPr>
        <w:t xml:space="preserve">Table 2. </w:t>
      </w:r>
      <w:r>
        <w:rPr>
          <w:rFonts w:ascii="Arial" w:hAnsi="Arial"/>
          <w:color w:val="000000"/>
          <w:sz w:val="20"/>
        </w:rP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Copy number</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Mutation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CTD2</w:t>
            </w:r>
          </w:p>
        </w:tc>
        <w:tc>
          <w:tcPr>
            <w:tcW w:type="dxa" w:w="1958"/>
            <w:vAlign w:val="center"/>
          </w:tcPr>
          <w:p>
            <w:pPr>
              <w:spacing w:after="0"/>
              <w:jc w:val="both"/>
            </w:pPr>
            <w:r>
              <w:rPr>
                <w:rFonts w:ascii="Arial" w:hAnsi="Arial"/>
                <w:color w:val="000000"/>
                <w:sz w:val="20"/>
              </w:rPr>
            </w:r>
            <w:r>
              <w:rPr>
                <w:rFonts w:ascii="Arial" w:hAnsi="Arial"/>
                <w:b w:val="0"/>
                <w:color w:val="000000"/>
                <w:sz w:val="20"/>
              </w:rPr>
              <w:t>0.3231</w:t>
            </w:r>
          </w:p>
        </w:tc>
        <w:tc>
          <w:tcPr>
            <w:tcW w:type="dxa" w:w="1958"/>
            <w:vAlign w:val="center"/>
          </w:tcPr>
          <w:p>
            <w:pPr>
              <w:spacing w:after="0"/>
              <w:jc w:val="both"/>
            </w:pPr>
            <w:r>
              <w:rPr>
                <w:rFonts w:ascii="Arial" w:hAnsi="Arial"/>
                <w:color w:val="000000"/>
                <w:sz w:val="20"/>
              </w:rPr>
            </w:r>
            <w:r>
              <w:rPr>
                <w:rFonts w:ascii="Arial" w:hAnsi="Arial"/>
                <w:b w:val="0"/>
                <w:color w:val="000000"/>
                <w:sz w:val="20"/>
              </w:rPr>
              <w:t>0.3287</w:t>
            </w:r>
          </w:p>
        </w:tc>
        <w:tc>
          <w:tcPr>
            <w:tcW w:type="dxa" w:w="1958"/>
            <w:vAlign w:val="center"/>
          </w:tcPr>
          <w:p>
            <w:pPr>
              <w:spacing w:after="0"/>
              <w:jc w:val="both"/>
            </w:pPr>
            <w:r>
              <w:rPr>
                <w:rFonts w:ascii="Arial" w:hAnsi="Arial"/>
                <w:color w:val="000000"/>
                <w:sz w:val="20"/>
              </w:rPr>
            </w:r>
            <w:r>
              <w:rPr>
                <w:rFonts w:ascii="Arial" w:hAnsi="Arial"/>
                <w:b w:val="0"/>
                <w:color w:val="000000"/>
                <w:sz w:val="20"/>
              </w:rPr>
              <w:t>0.3325</w:t>
            </w:r>
          </w:p>
        </w:tc>
        <w:tc>
          <w:tcPr>
            <w:tcW w:type="dxa" w:w="1958"/>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GDSC1</w:t>
            </w:r>
          </w:p>
        </w:tc>
        <w:tc>
          <w:tcPr>
            <w:tcW w:type="dxa" w:w="1958"/>
            <w:vAlign w:val="center"/>
          </w:tcPr>
          <w:p>
            <w:pPr>
              <w:spacing w:after="0"/>
              <w:jc w:val="both"/>
            </w:pPr>
            <w:r>
              <w:rPr>
                <w:rFonts w:ascii="Arial" w:hAnsi="Arial"/>
                <w:color w:val="000000"/>
                <w:sz w:val="20"/>
              </w:rPr>
            </w:r>
            <w:r>
              <w:rPr>
                <w:rFonts w:ascii="Arial" w:hAnsi="Arial"/>
                <w:b w:val="0"/>
                <w:color w:val="000000"/>
                <w:sz w:val="20"/>
              </w:rPr>
              <w:t>0.2322</w:t>
            </w:r>
          </w:p>
        </w:tc>
        <w:tc>
          <w:tcPr>
            <w:tcW w:type="dxa" w:w="1958"/>
            <w:vAlign w:val="center"/>
          </w:tcPr>
          <w:p>
            <w:pPr>
              <w:spacing w:after="0"/>
              <w:jc w:val="both"/>
            </w:pPr>
            <w:r>
              <w:rPr>
                <w:rFonts w:ascii="Arial" w:hAnsi="Arial"/>
                <w:color w:val="000000"/>
                <w:sz w:val="20"/>
              </w:rPr>
            </w:r>
            <w:r>
              <w:rPr>
                <w:rFonts w:ascii="Arial" w:hAnsi="Arial"/>
                <w:b w:val="0"/>
                <w:color w:val="000000"/>
                <w:sz w:val="20"/>
              </w:rPr>
              <w:t>0.2353</w:t>
            </w:r>
          </w:p>
        </w:tc>
        <w:tc>
          <w:tcPr>
            <w:tcW w:type="dxa" w:w="1958"/>
            <w:vAlign w:val="center"/>
          </w:tcPr>
          <w:p>
            <w:pPr>
              <w:spacing w:after="0"/>
              <w:jc w:val="both"/>
            </w:pPr>
            <w:r>
              <w:rPr>
                <w:rFonts w:ascii="Arial" w:hAnsi="Arial"/>
                <w:color w:val="000000"/>
                <w:sz w:val="20"/>
              </w:rPr>
            </w:r>
            <w:r>
              <w:rPr>
                <w:rFonts w:ascii="Arial" w:hAnsi="Arial"/>
                <w:b w:val="0"/>
                <w:color w:val="000000"/>
                <w:sz w:val="20"/>
              </w:rPr>
              <w:t>0.2342</w:t>
            </w:r>
          </w:p>
        </w:tc>
        <w:tc>
          <w:tcPr>
            <w:tcW w:type="dxa" w:w="1958"/>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GDSC2</w:t>
            </w:r>
          </w:p>
        </w:tc>
        <w:tc>
          <w:tcPr>
            <w:tcW w:type="dxa" w:w="1958"/>
            <w:vAlign w:val="center"/>
          </w:tcPr>
          <w:p>
            <w:pPr>
              <w:spacing w:after="0"/>
              <w:jc w:val="both"/>
            </w:pPr>
            <w:r>
              <w:rPr>
                <w:rFonts w:ascii="Arial" w:hAnsi="Arial"/>
                <w:color w:val="000000"/>
                <w:sz w:val="20"/>
              </w:rPr>
            </w:r>
            <w:r>
              <w:rPr>
                <w:rFonts w:ascii="Arial" w:hAnsi="Arial"/>
                <w:b w:val="0"/>
                <w:color w:val="000000"/>
                <w:sz w:val="20"/>
              </w:rPr>
              <w:t>0.2347</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0.2406</w:t>
            </w:r>
          </w:p>
        </w:tc>
        <w:tc>
          <w:tcPr>
            <w:tcW w:type="dxa" w:w="1958"/>
            <w:vAlign w:val="center"/>
          </w:tcPr>
          <w:p>
            <w:pPr>
              <w:spacing w:after="0"/>
              <w:jc w:val="both"/>
            </w:pPr>
            <w:r>
              <w:rPr>
                <w:rFonts w:ascii="Arial" w:hAnsi="Arial"/>
                <w:color w:val="000000"/>
                <w:sz w:val="20"/>
              </w:rPr>
            </w:r>
            <w:r>
              <w:rPr>
                <w:rFonts w:ascii="Arial" w:hAnsi="Arial"/>
                <w:b w:val="0"/>
                <w:color w:val="000000"/>
                <w:sz w:val="20"/>
              </w:rPr>
              <w:t>0.2387</w:t>
            </w:r>
          </w:p>
        </w:tc>
      </w:tr>
    </w:tbl>
    <w:p>
      <w:pPr>
        <w:spacing w:after="40"/>
        <w:jc w:val="both"/>
      </w:pPr>
    </w:p>
    <w:p>
      <w:pPr>
        <w:jc w:val="both"/>
      </w:pPr>
      <w:r>
        <w:rPr>
          <w:rFonts w:ascii="Arial" w:hAnsi="Arial"/>
          <w:b/>
          <w:color w:val="000000"/>
          <w:sz w:val="20"/>
        </w:rPr>
        <w:t xml:space="preserve">Table 3. </w:t>
      </w:r>
      <w:r>
        <w:rPr>
          <w:rFonts w:ascii="Arial" w:hAnsi="Arial"/>
          <w:color w:val="000000"/>
          <w:sz w:val="20"/>
        </w:rP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Compound</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Response rows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AZD-8055</w:t>
            </w:r>
          </w:p>
        </w:tc>
        <w:tc>
          <w:tcPr>
            <w:tcW w:type="dxa" w:w="3264"/>
            <w:vAlign w:val="center"/>
          </w:tcPr>
          <w:p>
            <w:pPr>
              <w:spacing w:after="0"/>
              <w:jc w:val="both"/>
            </w:pPr>
            <w:r>
              <w:rPr>
                <w:rFonts w:ascii="Arial" w:hAnsi="Arial"/>
                <w:color w:val="000000"/>
                <w:sz w:val="20"/>
              </w:rPr>
            </w:r>
            <w:r>
              <w:rPr>
                <w:rFonts w:ascii="Arial" w:hAnsi="Arial"/>
                <w:b w:val="0"/>
                <w:color w:val="000000"/>
                <w:sz w:val="20"/>
              </w:rPr>
              <w:t>779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LEPTOMYCIN B</w:t>
            </w:r>
          </w:p>
        </w:tc>
        <w:tc>
          <w:tcPr>
            <w:tcW w:type="dxa" w:w="3264"/>
            <w:vAlign w:val="center"/>
          </w:tcPr>
          <w:p>
            <w:pPr>
              <w:spacing w:after="0"/>
              <w:jc w:val="both"/>
            </w:pPr>
            <w:r>
              <w:rPr>
                <w:rFonts w:ascii="Arial" w:hAnsi="Arial"/>
                <w:color w:val="000000"/>
                <w:sz w:val="20"/>
              </w:rPr>
            </w:r>
            <w:r>
              <w:rPr>
                <w:rFonts w:ascii="Arial" w:hAnsi="Arial"/>
                <w:b w:val="0"/>
                <w:color w:val="000000"/>
                <w:sz w:val="20"/>
              </w:rPr>
              <w:t>786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OUABAIN</w:t>
            </w:r>
          </w:p>
        </w:tc>
        <w:tc>
          <w:tcPr>
            <w:tcW w:type="dxa" w:w="3264"/>
            <w:vAlign w:val="center"/>
          </w:tcPr>
          <w:p>
            <w:pPr>
              <w:spacing w:after="0"/>
              <w:jc w:val="both"/>
            </w:pPr>
            <w:r>
              <w:rPr>
                <w:rFonts w:ascii="Arial" w:hAnsi="Arial"/>
                <w:color w:val="000000"/>
                <w:sz w:val="20"/>
              </w:rPr>
            </w:r>
            <w:r>
              <w:rPr>
                <w:rFonts w:ascii="Arial" w:hAnsi="Arial"/>
                <w:b w:val="0"/>
                <w:color w:val="000000"/>
                <w:sz w:val="20"/>
              </w:rPr>
              <w:t>778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SR-II-138A</w:t>
            </w:r>
          </w:p>
        </w:tc>
        <w:tc>
          <w:tcPr>
            <w:tcW w:type="dxa" w:w="3264"/>
            <w:vAlign w:val="center"/>
          </w:tcPr>
          <w:p>
            <w:pPr>
              <w:spacing w:after="0"/>
              <w:jc w:val="both"/>
            </w:pPr>
            <w:r>
              <w:rPr>
                <w:rFonts w:ascii="Arial" w:hAnsi="Arial"/>
                <w:color w:val="000000"/>
                <w:sz w:val="20"/>
              </w:rPr>
            </w:r>
            <w:r>
              <w:rPr>
                <w:rFonts w:ascii="Arial" w:hAnsi="Arial"/>
                <w:b w:val="0"/>
                <w:color w:val="000000"/>
                <w:sz w:val="20"/>
              </w:rPr>
              <w:t>781</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VINCRISTINE</w:t>
            </w:r>
          </w:p>
        </w:tc>
        <w:tc>
          <w:tcPr>
            <w:tcW w:type="dxa" w:w="3264"/>
            <w:vAlign w:val="center"/>
          </w:tcPr>
          <w:p>
            <w:pPr>
              <w:spacing w:after="0"/>
              <w:jc w:val="both"/>
            </w:pPr>
            <w:r>
              <w:rPr>
                <w:rFonts w:ascii="Arial" w:hAnsi="Arial"/>
                <w:color w:val="000000"/>
                <w:sz w:val="20"/>
              </w:rPr>
            </w:r>
            <w:r>
              <w:rPr>
                <w:rFonts w:ascii="Arial" w:hAnsi="Arial"/>
                <w:b w:val="0"/>
                <w:color w:val="000000"/>
                <w:sz w:val="20"/>
              </w:rPr>
              <w:t>782</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3264"/>
            <w:vAlign w:val="center"/>
          </w:tcPr>
          <w:p>
            <w:pPr>
              <w:spacing w:after="0"/>
              <w:jc w:val="both"/>
            </w:pPr>
            <w:r>
              <w:rPr>
                <w:rFonts w:ascii="Arial" w:hAnsi="Arial"/>
                <w:color w:val="000000"/>
                <w:sz w:val="20"/>
              </w:rPr>
            </w:r>
            <w:r>
              <w:rPr>
                <w:rFonts w:ascii="Arial" w:hAnsi="Arial"/>
                <w:b w:val="0"/>
                <w:color w:val="000000"/>
                <w:sz w:val="20"/>
              </w:rPr>
              <w:t>903</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3264"/>
            <w:vAlign w:val="center"/>
          </w:tcPr>
          <w:p>
            <w:pPr>
              <w:spacing w:after="0"/>
              <w:jc w:val="both"/>
            </w:pPr>
            <w:r>
              <w:rPr>
                <w:rFonts w:ascii="Arial" w:hAnsi="Arial"/>
                <w:color w:val="000000"/>
                <w:sz w:val="20"/>
              </w:rPr>
            </w:r>
            <w:r>
              <w:rPr>
                <w:rFonts w:ascii="Arial" w:hAnsi="Arial"/>
                <w:b w:val="0"/>
                <w:color w:val="000000"/>
                <w:sz w:val="20"/>
              </w:rPr>
              <w:t>888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MG-132 (GDSC2:1862)</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MK-2206 (GDSC2:1053)</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PICTILISIB (GDSC2:1058)</w:t>
            </w:r>
          </w:p>
        </w:tc>
        <w:tc>
          <w:tcPr>
            <w:tcW w:type="dxa" w:w="3264"/>
            <w:vAlign w:val="center"/>
          </w:tcPr>
          <w:p>
            <w:pPr>
              <w:spacing w:after="0"/>
              <w:jc w:val="both"/>
            </w:pPr>
            <w:r>
              <w:rPr>
                <w:rFonts w:ascii="Arial" w:hAnsi="Arial"/>
                <w:color w:val="000000"/>
                <w:sz w:val="20"/>
              </w:rPr>
            </w:r>
            <w:r>
              <w:rPr>
                <w:rFonts w:ascii="Arial" w:hAnsi="Arial"/>
                <w:b w:val="0"/>
                <w:color w:val="000000"/>
                <w:sz w:val="20"/>
              </w:rPr>
              <w:t>936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bl>
    <w:p>
      <w:pPr>
        <w:spacing w:after="40"/>
        <w:jc w:val="both"/>
      </w:pPr>
    </w:p>
    <w:p>
      <w:pPr>
        <w:jc w:val="both"/>
      </w:pPr>
      <w:r>
        <w:rPr>
          <w:rFonts w:ascii="Arial" w:hAnsi="Arial"/>
          <w:b/>
          <w:color w:val="000000"/>
          <w:sz w:val="20"/>
        </w:rPr>
        <w:t xml:space="preserve">Table 4. </w:t>
      </w:r>
      <w:r>
        <w:rPr>
          <w:rFonts w:ascii="Arial" w:hAnsi="Arial"/>
          <w:color w:val="000000"/>
          <w:sz w:val="20"/>
        </w:rP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 delta</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0.1696</w:t>
            </w:r>
          </w:p>
        </w:tc>
        <w:tc>
          <w:tcPr>
            <w:tcW w:type="dxa" w:w="2448"/>
            <w:vAlign w:val="center"/>
          </w:tcPr>
          <w:p>
            <w:pPr>
              <w:spacing w:after="0"/>
              <w:jc w:val="both"/>
            </w:pPr>
            <w:r>
              <w:rPr>
                <w:rFonts w:ascii="Arial" w:hAnsi="Arial"/>
                <w:color w:val="000000"/>
                <w:sz w:val="20"/>
              </w:rPr>
            </w:r>
            <w:r>
              <w:rPr>
                <w:rFonts w:ascii="Arial" w:hAnsi="Arial"/>
                <w:b w:val="0"/>
                <w:color w:val="000000"/>
                <w:sz w:val="20"/>
              </w:rPr>
              <w:t>0.1672</w:t>
            </w:r>
          </w:p>
        </w:tc>
        <w:tc>
          <w:tcPr>
            <w:tcW w:type="dxa" w:w="2448"/>
            <w:vAlign w:val="center"/>
          </w:tcPr>
          <w:p>
            <w:pPr>
              <w:spacing w:after="0"/>
              <w:jc w:val="both"/>
            </w:pPr>
            <w:r>
              <w:rPr>
                <w:rFonts w:ascii="Arial" w:hAnsi="Arial"/>
                <w:color w:val="000000"/>
                <w:sz w:val="20"/>
              </w:rPr>
            </w:r>
            <w:r>
              <w:rPr>
                <w:rFonts w:ascii="Arial" w:hAnsi="Arial"/>
                <w:b w:val="0"/>
                <w:color w:val="000000"/>
                <w:sz w:val="20"/>
              </w:rPr>
              <w:t>-0.0024</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0.2538</w:t>
            </w:r>
          </w:p>
        </w:tc>
        <w:tc>
          <w:tcPr>
            <w:tcW w:type="dxa" w:w="2448"/>
            <w:vAlign w:val="center"/>
          </w:tcPr>
          <w:p>
            <w:pPr>
              <w:spacing w:after="0"/>
              <w:jc w:val="both"/>
            </w:pPr>
            <w:r>
              <w:rPr>
                <w:rFonts w:ascii="Arial" w:hAnsi="Arial"/>
                <w:color w:val="000000"/>
                <w:sz w:val="20"/>
              </w:rPr>
            </w:r>
            <w:r>
              <w:rPr>
                <w:rFonts w:ascii="Arial" w:hAnsi="Arial"/>
                <w:b w:val="0"/>
                <w:color w:val="000000"/>
                <w:sz w:val="20"/>
              </w:rPr>
              <w:t>0.2527</w:t>
            </w:r>
          </w:p>
        </w:tc>
        <w:tc>
          <w:tcPr>
            <w:tcW w:type="dxa" w:w="2448"/>
            <w:vAlign w:val="center"/>
          </w:tcPr>
          <w:p>
            <w:pPr>
              <w:spacing w:after="0"/>
              <w:jc w:val="both"/>
            </w:pPr>
            <w:r>
              <w:rPr>
                <w:rFonts w:ascii="Arial" w:hAnsi="Arial"/>
                <w:color w:val="000000"/>
                <w:sz w:val="20"/>
              </w:rPr>
            </w:r>
            <w:r>
              <w:rPr>
                <w:rFonts w:ascii="Arial" w:hAnsi="Arial"/>
                <w:b w:val="0"/>
                <w:color w:val="000000"/>
                <w:sz w:val="20"/>
              </w:rPr>
              <w:t>-0.0011</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0.2329</w:t>
            </w:r>
          </w:p>
        </w:tc>
        <w:tc>
          <w:tcPr>
            <w:tcW w:type="dxa" w:w="2448"/>
            <w:vAlign w:val="center"/>
          </w:tcPr>
          <w:p>
            <w:pPr>
              <w:spacing w:after="0"/>
              <w:jc w:val="both"/>
            </w:pPr>
            <w:r>
              <w:rPr>
                <w:rFonts w:ascii="Arial" w:hAnsi="Arial"/>
                <w:color w:val="000000"/>
                <w:sz w:val="20"/>
              </w:rPr>
            </w:r>
            <w:r>
              <w:rPr>
                <w:rFonts w:ascii="Arial" w:hAnsi="Arial"/>
                <w:b w:val="0"/>
                <w:color w:val="000000"/>
                <w:sz w:val="20"/>
              </w:rPr>
              <w:t>0.2326</w:t>
            </w:r>
          </w:p>
        </w:tc>
        <w:tc>
          <w:tcPr>
            <w:tcW w:type="dxa" w:w="2448"/>
            <w:vAlign w:val="center"/>
          </w:tcPr>
          <w:p>
            <w:pPr>
              <w:spacing w:after="0"/>
              <w:jc w:val="both"/>
            </w:pPr>
            <w:r>
              <w:rPr>
                <w:rFonts w:ascii="Arial" w:hAnsi="Arial"/>
                <w:color w:val="000000"/>
                <w:sz w:val="20"/>
              </w:rPr>
            </w:r>
            <w:r>
              <w:rPr>
                <w:rFonts w:ascii="Arial" w:hAnsi="Arial"/>
                <w:b w:val="0"/>
                <w:color w:val="000000"/>
                <w:sz w:val="20"/>
              </w:rPr>
              <w:t>-0.0003</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20260824</w:t>
            </w:r>
          </w:p>
        </w:tc>
        <w:tc>
          <w:tcPr>
            <w:tcW w:type="dxa" w:w="2448"/>
            <w:vAlign w:val="center"/>
          </w:tcPr>
          <w:p>
            <w:pPr>
              <w:spacing w:after="0"/>
              <w:jc w:val="both"/>
            </w:pPr>
            <w:r>
              <w:rPr>
                <w:rFonts w:ascii="Arial" w:hAnsi="Arial"/>
                <w:color w:val="000000"/>
                <w:sz w:val="20"/>
              </w:rPr>
            </w:r>
            <w:r>
              <w:rPr>
                <w:rFonts w:ascii="Arial" w:hAnsi="Arial"/>
                <w:b w:val="0"/>
                <w:color w:val="000000"/>
                <w:sz w:val="20"/>
              </w:rPr>
              <w:t>0.2299</w:t>
            </w:r>
          </w:p>
        </w:tc>
        <w:tc>
          <w:tcPr>
            <w:tcW w:type="dxa" w:w="2448"/>
            <w:vAlign w:val="center"/>
          </w:tcPr>
          <w:p>
            <w:pPr>
              <w:spacing w:after="0"/>
              <w:jc w:val="both"/>
            </w:pPr>
            <w:r>
              <w:rPr>
                <w:rFonts w:ascii="Arial" w:hAnsi="Arial"/>
                <w:color w:val="000000"/>
                <w:sz w:val="20"/>
              </w:rPr>
            </w:r>
            <w:r>
              <w:rPr>
                <w:rFonts w:ascii="Arial" w:hAnsi="Arial"/>
                <w:b w:val="0"/>
                <w:color w:val="000000"/>
                <w:sz w:val="20"/>
              </w:rPr>
              <w:t>0.2294</w:t>
            </w:r>
          </w:p>
        </w:tc>
        <w:tc>
          <w:tcPr>
            <w:tcW w:type="dxa" w:w="2448"/>
            <w:vAlign w:val="center"/>
          </w:tcPr>
          <w:p>
            <w:pPr>
              <w:spacing w:after="0"/>
              <w:jc w:val="both"/>
            </w:pPr>
            <w:r>
              <w:rPr>
                <w:rFonts w:ascii="Arial" w:hAnsi="Arial"/>
                <w:color w:val="000000"/>
                <w:sz w:val="20"/>
              </w:rPr>
            </w:r>
            <w:r>
              <w:rPr>
                <w:rFonts w:ascii="Arial" w:hAnsi="Arial"/>
                <w:b w:val="0"/>
                <w:color w:val="000000"/>
                <w:sz w:val="20"/>
              </w:rPr>
              <w:t>-0.0005</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20260825</w:t>
            </w:r>
          </w:p>
        </w:tc>
        <w:tc>
          <w:tcPr>
            <w:tcW w:type="dxa" w:w="2448"/>
            <w:vAlign w:val="center"/>
          </w:tcPr>
          <w:p>
            <w:pPr>
              <w:spacing w:after="0"/>
              <w:jc w:val="both"/>
            </w:pPr>
            <w:r>
              <w:rPr>
                <w:rFonts w:ascii="Arial" w:hAnsi="Arial"/>
                <w:color w:val="000000"/>
                <w:sz w:val="20"/>
              </w:rPr>
            </w:r>
            <w:r>
              <w:rPr>
                <w:rFonts w:ascii="Arial" w:hAnsi="Arial"/>
                <w:b w:val="0"/>
                <w:color w:val="000000"/>
                <w:sz w:val="20"/>
              </w:rPr>
              <w:t>0.2776</w:t>
            </w:r>
          </w:p>
        </w:tc>
        <w:tc>
          <w:tcPr>
            <w:tcW w:type="dxa" w:w="2448"/>
            <w:vAlign w:val="center"/>
          </w:tcPr>
          <w:p>
            <w:pPr>
              <w:spacing w:after="0"/>
              <w:jc w:val="both"/>
            </w:pPr>
            <w:r>
              <w:rPr>
                <w:rFonts w:ascii="Arial" w:hAnsi="Arial"/>
                <w:color w:val="000000"/>
                <w:sz w:val="20"/>
              </w:rPr>
            </w:r>
            <w:r>
              <w:rPr>
                <w:rFonts w:ascii="Arial" w:hAnsi="Arial"/>
                <w:b w:val="0"/>
                <w:color w:val="000000"/>
                <w:sz w:val="20"/>
              </w:rPr>
              <w:t>0.2788</w:t>
            </w:r>
          </w:p>
        </w:tc>
        <w:tc>
          <w:tcPr>
            <w:tcW w:type="dxa" w:w="2448"/>
            <w:vAlign w:val="center"/>
          </w:tcPr>
          <w:p>
            <w:pPr>
              <w:spacing w:after="0"/>
              <w:jc w:val="both"/>
            </w:pPr>
            <w:r>
              <w:rPr>
                <w:rFonts w:ascii="Arial" w:hAnsi="Arial"/>
                <w:color w:val="000000"/>
                <w:sz w:val="20"/>
              </w:rPr>
            </w:r>
            <w:r>
              <w:rPr>
                <w:rFonts w:ascii="Arial" w:hAnsi="Arial"/>
                <w:b w:val="0"/>
                <w:color w:val="000000"/>
                <w:sz w:val="20"/>
              </w:rPr>
              <w:t>+0.0012</w:t>
            </w:r>
          </w:p>
        </w:tc>
      </w:tr>
    </w:tbl>
    <w:p>
      <w:pPr>
        <w:spacing w:after="40"/>
        <w:jc w:val="both"/>
      </w:pPr>
    </w:p>
    <w:p>
      <w:pPr>
        <w:jc w:val="both"/>
      </w:pPr>
      <w:r>
        <w:rPr>
          <w:rFonts w:ascii="Arial" w:hAnsi="Arial"/>
          <w:b/>
          <w:color w:val="000000"/>
          <w:sz w:val="20"/>
        </w:rPr>
        <w:t xml:space="preserve">Table 5. </w:t>
      </w:r>
      <w:r>
        <w:rPr>
          <w:rFonts w:ascii="Arial" w:hAnsi="Arial"/>
          <w:color w:val="000000"/>
          <w:sz w:val="20"/>
        </w:rP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RMSE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Selected features</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0.1398</w:t>
            </w:r>
          </w:p>
        </w:tc>
        <w:tc>
          <w:tcPr>
            <w:tcW w:type="dxa" w:w="1958"/>
            <w:vAlign w:val="center"/>
          </w:tcPr>
          <w:p>
            <w:pPr>
              <w:spacing w:after="0"/>
              <w:jc w:val="both"/>
            </w:pPr>
            <w:r>
              <w:rPr>
                <w:rFonts w:ascii="Arial" w:hAnsi="Arial"/>
                <w:color w:val="000000"/>
                <w:sz w:val="20"/>
              </w:rPr>
            </w:r>
            <w:r>
              <w:rPr>
                <w:rFonts w:ascii="Arial" w:hAnsi="Arial"/>
                <w:b w:val="0"/>
                <w:color w:val="000000"/>
                <w:sz w:val="20"/>
              </w:rPr>
              <w:t>0.1696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0.1483</w:t>
            </w:r>
          </w:p>
        </w:tc>
        <w:tc>
          <w:tcPr>
            <w:tcW w:type="dxa" w:w="1958"/>
            <w:vAlign w:val="center"/>
          </w:tcPr>
          <w:p>
            <w:pPr>
              <w:spacing w:after="0"/>
              <w:jc w:val="both"/>
            </w:pPr>
            <w:r>
              <w:rPr>
                <w:rFonts w:ascii="Arial" w:hAnsi="Arial"/>
                <w:color w:val="000000"/>
                <w:sz w:val="20"/>
              </w:rPr>
            </w:r>
            <w:r>
              <w:rPr>
                <w:rFonts w:ascii="Arial" w:hAnsi="Arial"/>
                <w:b w:val="0"/>
                <w:color w:val="000000"/>
                <w:sz w:val="20"/>
              </w:rPr>
              <w:t>0.1786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0.1374</w:t>
            </w:r>
          </w:p>
        </w:tc>
        <w:tc>
          <w:tcPr>
            <w:tcW w:type="dxa" w:w="1958"/>
            <w:vAlign w:val="center"/>
          </w:tcPr>
          <w:p>
            <w:pPr>
              <w:spacing w:after="0"/>
              <w:jc w:val="both"/>
            </w:pPr>
            <w:r>
              <w:rPr>
                <w:rFonts w:ascii="Arial" w:hAnsi="Arial"/>
                <w:color w:val="000000"/>
                <w:sz w:val="20"/>
              </w:rPr>
            </w:r>
            <w:r>
              <w:rPr>
                <w:rFonts w:ascii="Arial" w:hAnsi="Arial"/>
                <w:b w:val="0"/>
                <w:color w:val="000000"/>
                <w:sz w:val="20"/>
              </w:rPr>
              <w:t>0.1674</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0.1370</w:t>
            </w:r>
          </w:p>
        </w:tc>
        <w:tc>
          <w:tcPr>
            <w:tcW w:type="dxa" w:w="1958"/>
            <w:vAlign w:val="center"/>
          </w:tcPr>
          <w:p>
            <w:pPr>
              <w:spacing w:after="0"/>
              <w:jc w:val="both"/>
            </w:pPr>
            <w:r>
              <w:rPr>
                <w:rFonts w:ascii="Arial" w:hAnsi="Arial"/>
                <w:color w:val="000000"/>
                <w:sz w:val="20"/>
              </w:rPr>
            </w:r>
            <w:r>
              <w:rPr>
                <w:rFonts w:ascii="Arial" w:hAnsi="Arial"/>
                <w:b w:val="0"/>
                <w:color w:val="000000"/>
                <w:sz w:val="20"/>
              </w:rPr>
              <w:t>0.1672</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0.2226</w:t>
            </w:r>
          </w:p>
        </w:tc>
        <w:tc>
          <w:tcPr>
            <w:tcW w:type="dxa" w:w="1958"/>
            <w:vAlign w:val="center"/>
          </w:tcPr>
          <w:p>
            <w:pPr>
              <w:spacing w:after="0"/>
              <w:jc w:val="both"/>
            </w:pPr>
            <w:r>
              <w:rPr>
                <w:rFonts w:ascii="Arial" w:hAnsi="Arial"/>
                <w:color w:val="000000"/>
                <w:sz w:val="20"/>
              </w:rPr>
            </w:r>
            <w:r>
              <w:rPr>
                <w:rFonts w:ascii="Arial" w:hAnsi="Arial"/>
                <w:b w:val="0"/>
                <w:color w:val="000000"/>
                <w:sz w:val="20"/>
              </w:rPr>
              <w:t>0.2538</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0.2319</w:t>
            </w:r>
          </w:p>
        </w:tc>
        <w:tc>
          <w:tcPr>
            <w:tcW w:type="dxa" w:w="1958"/>
            <w:vAlign w:val="center"/>
          </w:tcPr>
          <w:p>
            <w:pPr>
              <w:spacing w:after="0"/>
              <w:jc w:val="both"/>
            </w:pPr>
            <w:r>
              <w:rPr>
                <w:rFonts w:ascii="Arial" w:hAnsi="Arial"/>
                <w:color w:val="000000"/>
                <w:sz w:val="20"/>
              </w:rPr>
            </w:r>
            <w:r>
              <w:rPr>
                <w:rFonts w:ascii="Arial" w:hAnsi="Arial"/>
                <w:b w:val="0"/>
                <w:color w:val="000000"/>
                <w:sz w:val="20"/>
              </w:rPr>
              <w:t>0.2620</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0.2208</w:t>
            </w:r>
          </w:p>
        </w:tc>
        <w:tc>
          <w:tcPr>
            <w:tcW w:type="dxa" w:w="1958"/>
            <w:vAlign w:val="center"/>
          </w:tcPr>
          <w:p>
            <w:pPr>
              <w:spacing w:after="0"/>
              <w:jc w:val="both"/>
            </w:pPr>
            <w:r>
              <w:rPr>
                <w:rFonts w:ascii="Arial" w:hAnsi="Arial"/>
                <w:color w:val="000000"/>
                <w:sz w:val="20"/>
              </w:rPr>
            </w:r>
            <w:r>
              <w:rPr>
                <w:rFonts w:ascii="Arial" w:hAnsi="Arial"/>
                <w:b w:val="0"/>
                <w:color w:val="000000"/>
                <w:sz w:val="20"/>
              </w:rPr>
              <w:t>0.2529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0.2206</w:t>
            </w:r>
          </w:p>
        </w:tc>
        <w:tc>
          <w:tcPr>
            <w:tcW w:type="dxa" w:w="1958"/>
            <w:vAlign w:val="center"/>
          </w:tcPr>
          <w:p>
            <w:pPr>
              <w:spacing w:after="0"/>
              <w:jc w:val="both"/>
            </w:pPr>
            <w:r>
              <w:rPr>
                <w:rFonts w:ascii="Arial" w:hAnsi="Arial"/>
                <w:color w:val="000000"/>
                <w:sz w:val="20"/>
              </w:rPr>
            </w:r>
            <w:r>
              <w:rPr>
                <w:rFonts w:ascii="Arial" w:hAnsi="Arial"/>
                <w:b w:val="0"/>
                <w:color w:val="000000"/>
                <w:sz w:val="20"/>
              </w:rPr>
              <w:t>0.2527</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0.1913</w:t>
            </w:r>
          </w:p>
        </w:tc>
        <w:tc>
          <w:tcPr>
            <w:tcW w:type="dxa" w:w="1958"/>
            <w:vAlign w:val="center"/>
          </w:tcPr>
          <w:p>
            <w:pPr>
              <w:spacing w:after="0"/>
              <w:jc w:val="both"/>
            </w:pPr>
            <w:r>
              <w:rPr>
                <w:rFonts w:ascii="Arial" w:hAnsi="Arial"/>
                <w:color w:val="000000"/>
                <w:sz w:val="20"/>
              </w:rPr>
            </w:r>
            <w:r>
              <w:rPr>
                <w:rFonts w:ascii="Arial" w:hAnsi="Arial"/>
                <w:b w:val="0"/>
                <w:color w:val="000000"/>
                <w:sz w:val="20"/>
              </w:rPr>
              <w:t>0.2329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0.1939</w:t>
            </w:r>
          </w:p>
        </w:tc>
        <w:tc>
          <w:tcPr>
            <w:tcW w:type="dxa" w:w="1958"/>
            <w:vAlign w:val="center"/>
          </w:tcPr>
          <w:p>
            <w:pPr>
              <w:spacing w:after="0"/>
              <w:jc w:val="both"/>
            </w:pPr>
            <w:r>
              <w:rPr>
                <w:rFonts w:ascii="Arial" w:hAnsi="Arial"/>
                <w:color w:val="000000"/>
                <w:sz w:val="20"/>
              </w:rPr>
            </w:r>
            <w:r>
              <w:rPr>
                <w:rFonts w:ascii="Arial" w:hAnsi="Arial"/>
                <w:b w:val="0"/>
                <w:color w:val="000000"/>
                <w:sz w:val="20"/>
              </w:rPr>
              <w:t>0.2332</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0.1904</w:t>
            </w:r>
          </w:p>
        </w:tc>
        <w:tc>
          <w:tcPr>
            <w:tcW w:type="dxa" w:w="1958"/>
            <w:vAlign w:val="center"/>
          </w:tcPr>
          <w:p>
            <w:pPr>
              <w:spacing w:after="0"/>
              <w:jc w:val="both"/>
            </w:pPr>
            <w:r>
              <w:rPr>
                <w:rFonts w:ascii="Arial" w:hAnsi="Arial"/>
                <w:color w:val="000000"/>
                <w:sz w:val="20"/>
              </w:rPr>
            </w:r>
            <w:r>
              <w:rPr>
                <w:rFonts w:ascii="Arial" w:hAnsi="Arial"/>
                <w:b w:val="0"/>
                <w:color w:val="000000"/>
                <w:sz w:val="20"/>
              </w:rPr>
              <w:t>0.2325</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0.1902</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0.1955</w:t>
            </w:r>
          </w:p>
        </w:tc>
        <w:tc>
          <w:tcPr>
            <w:tcW w:type="dxa" w:w="1958"/>
            <w:vAlign w:val="center"/>
          </w:tcPr>
          <w:p>
            <w:pPr>
              <w:spacing w:after="0"/>
              <w:jc w:val="both"/>
            </w:pPr>
            <w:r>
              <w:rPr>
                <w:rFonts w:ascii="Arial" w:hAnsi="Arial"/>
                <w:color w:val="000000"/>
                <w:sz w:val="20"/>
              </w:rPr>
            </w:r>
            <w:r>
              <w:rPr>
                <w:rFonts w:ascii="Arial" w:hAnsi="Arial"/>
                <w:b w:val="0"/>
                <w:color w:val="000000"/>
                <w:sz w:val="20"/>
              </w:rPr>
              <w:t>0.2299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0.1991</w:t>
            </w:r>
          </w:p>
        </w:tc>
        <w:tc>
          <w:tcPr>
            <w:tcW w:type="dxa" w:w="1958"/>
            <w:vAlign w:val="center"/>
          </w:tcPr>
          <w:p>
            <w:pPr>
              <w:spacing w:after="0"/>
              <w:jc w:val="both"/>
            </w:pPr>
            <w:r>
              <w:rPr>
                <w:rFonts w:ascii="Arial" w:hAnsi="Arial"/>
                <w:color w:val="000000"/>
                <w:sz w:val="20"/>
              </w:rPr>
            </w:r>
            <w:r>
              <w:rPr>
                <w:rFonts w:ascii="Arial" w:hAnsi="Arial"/>
                <w:b w:val="0"/>
                <w:color w:val="000000"/>
                <w:sz w:val="20"/>
              </w:rPr>
              <w:t>0.2313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0.2294</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0.2396</w:t>
            </w:r>
          </w:p>
        </w:tc>
        <w:tc>
          <w:tcPr>
            <w:tcW w:type="dxa" w:w="1958"/>
            <w:vAlign w:val="center"/>
          </w:tcPr>
          <w:p>
            <w:pPr>
              <w:spacing w:after="0"/>
              <w:jc w:val="both"/>
            </w:pPr>
            <w:r>
              <w:rPr>
                <w:rFonts w:ascii="Arial" w:hAnsi="Arial"/>
                <w:color w:val="000000"/>
                <w:sz w:val="20"/>
              </w:rPr>
            </w:r>
            <w:r>
              <w:rPr>
                <w:rFonts w:ascii="Arial" w:hAnsi="Arial"/>
                <w:b w:val="0"/>
                <w:color w:val="000000"/>
                <w:sz w:val="20"/>
              </w:rPr>
              <w:t>0.2776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0.2349</w:t>
            </w:r>
          </w:p>
        </w:tc>
        <w:tc>
          <w:tcPr>
            <w:tcW w:type="dxa" w:w="1958"/>
            <w:vAlign w:val="center"/>
          </w:tcPr>
          <w:p>
            <w:pPr>
              <w:spacing w:after="0"/>
              <w:jc w:val="both"/>
            </w:pPr>
            <w:r>
              <w:rPr>
                <w:rFonts w:ascii="Arial" w:hAnsi="Arial"/>
                <w:color w:val="000000"/>
                <w:sz w:val="20"/>
              </w:rPr>
            </w:r>
            <w:r>
              <w:rPr>
                <w:rFonts w:ascii="Arial" w:hAnsi="Arial"/>
                <w:b w:val="0"/>
                <w:color w:val="000000"/>
                <w:sz w:val="20"/>
              </w:rPr>
              <w:t>0.2699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0.2395</w:t>
            </w:r>
          </w:p>
        </w:tc>
        <w:tc>
          <w:tcPr>
            <w:tcW w:type="dxa" w:w="1958"/>
            <w:vAlign w:val="center"/>
          </w:tcPr>
          <w:p>
            <w:pPr>
              <w:spacing w:after="0"/>
              <w:jc w:val="both"/>
            </w:pPr>
            <w:r>
              <w:rPr>
                <w:rFonts w:ascii="Arial" w:hAnsi="Arial"/>
                <w:color w:val="000000"/>
                <w:sz w:val="20"/>
              </w:rPr>
            </w:r>
            <w:r>
              <w:rPr>
                <w:rFonts w:ascii="Arial" w:hAnsi="Arial"/>
                <w:b w:val="0"/>
                <w:color w:val="000000"/>
                <w:sz w:val="20"/>
              </w:rPr>
              <w:t>0.2787</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0.2397</w:t>
            </w:r>
          </w:p>
        </w:tc>
        <w:tc>
          <w:tcPr>
            <w:tcW w:type="dxa" w:w="1958"/>
            <w:vAlign w:val="center"/>
          </w:tcPr>
          <w:p>
            <w:pPr>
              <w:spacing w:after="0"/>
              <w:jc w:val="both"/>
            </w:pPr>
            <w:r>
              <w:rPr>
                <w:rFonts w:ascii="Arial" w:hAnsi="Arial"/>
                <w:color w:val="000000"/>
                <w:sz w:val="20"/>
              </w:rPr>
            </w:r>
            <w:r>
              <w:rPr>
                <w:rFonts w:ascii="Arial" w:hAnsi="Arial"/>
                <w:b w:val="0"/>
                <w:color w:val="000000"/>
                <w:sz w:val="20"/>
              </w:rPr>
              <w:t>0.2788</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bl>
    <w:p>
      <w:pPr>
        <w:spacing w:after="40"/>
        <w:jc w:val="both"/>
      </w:pPr>
    </w:p>
    <w:p>
      <w:pPr>
        <w:jc w:val="both"/>
      </w:pPr>
      <w:r>
        <w:rPr>
          <w:rFonts w:ascii="Arial" w:hAnsi="Arial"/>
          <w:color w:val="000000"/>
          <w:sz w:val="20"/>
        </w:rPr>
        <w:br w:type="page"/>
      </w:r>
    </w:p>
    <w:p>
      <w:pPr>
        <w:jc w:val="both"/>
      </w:pPr>
      <w:r>
        <w:rPr>
          <w:rFonts w:ascii="Arial" w:hAnsi="Arial"/>
          <w:b/>
          <w:color w:val="000000"/>
          <w:sz w:val="20"/>
        </w:rPr>
        <w:t xml:space="preserve">Table 6. </w:t>
      </w:r>
      <w:r>
        <w:rPr>
          <w:rFonts w:ascii="Arial" w:hAnsi="Arial"/>
          <w:color w:val="000000"/>
          <w:sz w:val="20"/>
        </w:rP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Train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Test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RMSE</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0.2745</w:t>
            </w:r>
          </w:p>
        </w:tc>
        <w:tc>
          <w:tcPr>
            <w:tcW w:type="dxa" w:w="1632"/>
            <w:vAlign w:val="center"/>
          </w:tcPr>
          <w:p>
            <w:pPr>
              <w:spacing w:after="0"/>
              <w:jc w:val="both"/>
            </w:pPr>
            <w:r>
              <w:rPr>
                <w:rFonts w:ascii="Arial" w:hAnsi="Arial"/>
                <w:color w:val="000000"/>
                <w:sz w:val="20"/>
              </w:rPr>
            </w:r>
            <w:r>
              <w:rPr>
                <w:rFonts w:ascii="Arial" w:hAnsi="Arial"/>
                <w:b w:val="0"/>
                <w:color w:val="000000"/>
                <w:sz w:val="20"/>
              </w:rPr>
              <w:t>0.3231</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0.2779</w:t>
            </w:r>
          </w:p>
        </w:tc>
        <w:tc>
          <w:tcPr>
            <w:tcW w:type="dxa" w:w="1632"/>
            <w:vAlign w:val="center"/>
          </w:tcPr>
          <w:p>
            <w:pPr>
              <w:spacing w:after="0"/>
              <w:jc w:val="both"/>
            </w:pPr>
            <w:r>
              <w:rPr>
                <w:rFonts w:ascii="Arial" w:hAnsi="Arial"/>
                <w:color w:val="000000"/>
                <w:sz w:val="20"/>
              </w:rPr>
            </w:r>
            <w:r>
              <w:rPr>
                <w:rFonts w:ascii="Arial" w:hAnsi="Arial"/>
                <w:b w:val="0"/>
                <w:color w:val="000000"/>
                <w:sz w:val="20"/>
              </w:rPr>
              <w:t>0.3287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0.2803</w:t>
            </w:r>
          </w:p>
        </w:tc>
        <w:tc>
          <w:tcPr>
            <w:tcW w:type="dxa" w:w="1632"/>
            <w:vAlign w:val="center"/>
          </w:tcPr>
          <w:p>
            <w:pPr>
              <w:spacing w:after="0"/>
              <w:jc w:val="both"/>
            </w:pPr>
            <w:r>
              <w:rPr>
                <w:rFonts w:ascii="Arial" w:hAnsi="Arial"/>
                <w:color w:val="000000"/>
                <w:sz w:val="20"/>
              </w:rPr>
            </w:r>
            <w:r>
              <w:rPr>
                <w:rFonts w:ascii="Arial" w:hAnsi="Arial"/>
                <w:b w:val="0"/>
                <w:color w:val="000000"/>
                <w:sz w:val="20"/>
              </w:rPr>
              <w:t>0.3325</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0.2744</w:t>
            </w:r>
          </w:p>
        </w:tc>
        <w:tc>
          <w:tcPr>
            <w:tcW w:type="dxa" w:w="1632"/>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0.1961</w:t>
            </w:r>
          </w:p>
        </w:tc>
        <w:tc>
          <w:tcPr>
            <w:tcW w:type="dxa" w:w="1632"/>
            <w:vAlign w:val="center"/>
          </w:tcPr>
          <w:p>
            <w:pPr>
              <w:spacing w:after="0"/>
              <w:jc w:val="both"/>
            </w:pPr>
            <w:r>
              <w:rPr>
                <w:rFonts w:ascii="Arial" w:hAnsi="Arial"/>
                <w:color w:val="000000"/>
                <w:sz w:val="20"/>
              </w:rPr>
            </w:r>
            <w:r>
              <w:rPr>
                <w:rFonts w:ascii="Arial" w:hAnsi="Arial"/>
                <w:b w:val="0"/>
                <w:color w:val="000000"/>
                <w:sz w:val="20"/>
              </w:rPr>
              <w:t>0.2322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0.2015</w:t>
            </w:r>
          </w:p>
        </w:tc>
        <w:tc>
          <w:tcPr>
            <w:tcW w:type="dxa" w:w="1632"/>
            <w:vAlign w:val="center"/>
          </w:tcPr>
          <w:p>
            <w:pPr>
              <w:spacing w:after="0"/>
              <w:jc w:val="both"/>
            </w:pPr>
            <w:r>
              <w:rPr>
                <w:rFonts w:ascii="Arial" w:hAnsi="Arial"/>
                <w:color w:val="000000"/>
                <w:sz w:val="20"/>
              </w:rPr>
            </w:r>
            <w:r>
              <w:rPr>
                <w:rFonts w:ascii="Arial" w:hAnsi="Arial"/>
                <w:b w:val="0"/>
                <w:color w:val="000000"/>
                <w:sz w:val="20"/>
              </w:rPr>
              <w:t>0.2353</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0.1966</w:t>
            </w:r>
          </w:p>
        </w:tc>
        <w:tc>
          <w:tcPr>
            <w:tcW w:type="dxa" w:w="1632"/>
            <w:vAlign w:val="center"/>
          </w:tcPr>
          <w:p>
            <w:pPr>
              <w:spacing w:after="0"/>
              <w:jc w:val="both"/>
            </w:pPr>
            <w:r>
              <w:rPr>
                <w:rFonts w:ascii="Arial" w:hAnsi="Arial"/>
                <w:color w:val="000000"/>
                <w:sz w:val="20"/>
              </w:rPr>
            </w:r>
            <w:r>
              <w:rPr>
                <w:rFonts w:ascii="Arial" w:hAnsi="Arial"/>
                <w:b w:val="0"/>
                <w:color w:val="000000"/>
                <w:sz w:val="20"/>
              </w:rPr>
              <w:t>0.2342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0.1963</w:t>
            </w:r>
          </w:p>
        </w:tc>
        <w:tc>
          <w:tcPr>
            <w:tcW w:type="dxa" w:w="1632"/>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0.1973</w:t>
            </w:r>
          </w:p>
        </w:tc>
        <w:tc>
          <w:tcPr>
            <w:tcW w:type="dxa" w:w="1632"/>
            <w:vAlign w:val="center"/>
          </w:tcPr>
          <w:p>
            <w:pPr>
              <w:spacing w:after="0"/>
              <w:jc w:val="both"/>
            </w:pPr>
            <w:r>
              <w:rPr>
                <w:rFonts w:ascii="Arial" w:hAnsi="Arial"/>
                <w:color w:val="000000"/>
                <w:sz w:val="20"/>
              </w:rPr>
            </w:r>
            <w:r>
              <w:rPr>
                <w:rFonts w:ascii="Arial" w:hAnsi="Arial"/>
                <w:b w:val="0"/>
                <w:color w:val="000000"/>
                <w:sz w:val="20"/>
              </w:rPr>
              <w:t>0.2347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0.1980</w:t>
            </w:r>
          </w:p>
        </w:tc>
        <w:tc>
          <w:tcPr>
            <w:tcW w:type="dxa" w:w="1632"/>
            <w:vAlign w:val="center"/>
          </w:tcPr>
          <w:p>
            <w:pPr>
              <w:spacing w:after="0"/>
              <w:jc w:val="both"/>
            </w:pPr>
            <w:r>
              <w:rPr>
                <w:rFonts w:ascii="Arial" w:hAnsi="Arial"/>
                <w:color w:val="000000"/>
                <w:sz w:val="20"/>
              </w:rPr>
            </w:r>
            <w:r>
              <w:rPr>
                <w:rFonts w:ascii="Arial" w:hAnsi="Arial"/>
                <w:b w:val="0"/>
                <w:color w:val="000000"/>
                <w:sz w:val="20"/>
              </w:rPr>
              <w:t>0.2326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0.2000</w:t>
            </w:r>
          </w:p>
        </w:tc>
        <w:tc>
          <w:tcPr>
            <w:tcW w:type="dxa" w:w="1632"/>
            <w:vAlign w:val="center"/>
          </w:tcPr>
          <w:p>
            <w:pPr>
              <w:spacing w:after="0"/>
              <w:jc w:val="both"/>
            </w:pPr>
            <w:r>
              <w:rPr>
                <w:rFonts w:ascii="Arial" w:hAnsi="Arial"/>
                <w:color w:val="000000"/>
                <w:sz w:val="20"/>
              </w:rPr>
            </w:r>
            <w:r>
              <w:rPr>
                <w:rFonts w:ascii="Arial" w:hAnsi="Arial"/>
                <w:b w:val="0"/>
                <w:color w:val="000000"/>
                <w:sz w:val="20"/>
              </w:rPr>
              <w:t>0.2406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0.1986</w:t>
            </w:r>
          </w:p>
        </w:tc>
        <w:tc>
          <w:tcPr>
            <w:tcW w:type="dxa" w:w="1632"/>
            <w:vAlign w:val="center"/>
          </w:tcPr>
          <w:p>
            <w:pPr>
              <w:spacing w:after="0"/>
              <w:jc w:val="both"/>
            </w:pPr>
            <w:r>
              <w:rPr>
                <w:rFonts w:ascii="Arial" w:hAnsi="Arial"/>
                <w:color w:val="000000"/>
                <w:sz w:val="20"/>
              </w:rPr>
            </w:r>
            <w:r>
              <w:rPr>
                <w:rFonts w:ascii="Arial" w:hAnsi="Arial"/>
                <w:b w:val="0"/>
                <w:color w:val="000000"/>
                <w:sz w:val="20"/>
              </w:rPr>
              <w:t>0.2387</w:t>
            </w:r>
          </w:p>
        </w:tc>
      </w:tr>
    </w:tbl>
    <w:p>
      <w:pPr>
        <w:spacing w:after="40"/>
        <w:jc w:val="both"/>
      </w:pPr>
    </w:p>
    <w:p>
      <w:pPr>
        <w:pStyle w:val="Heading1"/>
        <w:keepNext/>
        <w:jc w:val="both"/>
      </w:pPr>
      <w:r>
        <w:rPr>
          <w:rFonts w:ascii="Arial" w:hAnsi="Arial"/>
          <w:color w:val="000000"/>
          <w:sz w:val="20"/>
        </w:rPr>
        <w:t>4. Discussion</w:t>
      </w:r>
    </w:p>
    <w:p>
      <w:pPr>
        <w:spacing w:after="120" w:line="259" w:lineRule="auto"/>
        <w:jc w:val="both"/>
      </w:pPr>
      <w:r>
        <w:rPr>
          <w:rFonts w:ascii="Arial" w:hAnsi="Arial"/>
          <w:color w:val="000000"/>
          <w:sz w:val="20"/>
        </w:rP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jc w:val="both"/>
      </w:pPr>
      <w:r>
        <w:rPr>
          <w:rFonts w:ascii="Arial" w:hAnsi="Arial"/>
          <w:color w:val="000000"/>
          <w:sz w:val="20"/>
        </w:rP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jc w:val="both"/>
      </w:pPr>
      <w:r>
        <w:rPr>
          <w:rFonts w:ascii="Arial" w:hAnsi="Arial"/>
          <w:color w:val="000000"/>
          <w:sz w:val="20"/>
        </w:rP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jc w:val="both"/>
      </w:pPr>
      <w:r>
        <w:rPr>
          <w:rFonts w:ascii="Arial" w:hAnsi="Arial"/>
          <w:color w:val="000000"/>
          <w:sz w:val="20"/>
        </w:rP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jc w:val="both"/>
      </w:pPr>
      <w:r>
        <w:rPr>
          <w:rFonts w:ascii="Arial" w:hAnsi="Arial"/>
          <w:color w:val="000000"/>
          <w:sz w:val="20"/>
        </w:rP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jc w:val="both"/>
      </w:pPr>
      <w:r>
        <w:rPr>
          <w:rFonts w:ascii="Arial" w:hAnsi="Arial"/>
          <w:color w:val="000000"/>
          <w:sz w:val="20"/>
        </w:rP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jc w:val="both"/>
      </w:pPr>
      <w:r>
        <w:rPr>
          <w:rFonts w:ascii="Arial" w:hAnsi="Arial"/>
          <w:color w:val="000000"/>
          <w:sz w:val="20"/>
        </w:rP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jc w:val="both"/>
      </w:pPr>
      <w:r>
        <w:rPr>
          <w:rFonts w:ascii="Arial" w:hAnsi="Arial"/>
          <w:color w:val="000000"/>
          <w:sz w:val="20"/>
        </w:rP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jc w:val="both"/>
      </w:pPr>
      <w:r>
        <w:rPr>
          <w:rFonts w:ascii="Arial" w:hAnsi="Arial"/>
          <w:color w:val="000000"/>
          <w:sz w:val="20"/>
        </w:rP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jc w:val="both"/>
      </w:pPr>
      <w:r>
        <w:rPr>
          <w:rFonts w:ascii="Arial" w:hAnsi="Arial"/>
          <w:color w:val="000000"/>
          <w:sz w:val="20"/>
        </w:rP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jc w:val="both"/>
      </w:pPr>
      <w:r>
        <w:rPr>
          <w:rFonts w:ascii="Arial" w:hAnsi="Arial"/>
          <w:color w:val="000000"/>
          <w:sz w:val="20"/>
        </w:rP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jc w:val="both"/>
      </w:pPr>
      <w:r>
        <w:rPr>
          <w:rFonts w:ascii="Arial" w:hAnsi="Arial"/>
          <w:color w:val="000000"/>
          <w:sz w:val="20"/>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p>
    <w:p>
      <w:pPr>
        <w:spacing w:after="120" w:line="259" w:lineRule="auto"/>
        <w:jc w:val="both"/>
      </w:pPr>
      <w:r>
        <w:rPr>
          <w:rFonts w:ascii="Arial" w:hAnsi="Arial"/>
          <w:color w:val="000000"/>
          <w:sz w:val="20"/>
        </w:rP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jc w:val="both"/>
      </w:pPr>
      <w:r>
        <w:rPr>
          <w:rFonts w:ascii="Arial" w:hAnsi="Arial"/>
          <w:color w:val="000000"/>
          <w:sz w:val="20"/>
        </w:rP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jc w:val="both"/>
      </w:pPr>
      <w:r>
        <w:rPr>
          <w:rFonts w:ascii="Arial" w:hAnsi="Arial"/>
          <w:color w:val="000000"/>
          <w:sz w:val="20"/>
        </w:rPr>
        <w:t>5. Conclusion</w:t>
      </w:r>
    </w:p>
    <w:p>
      <w:pPr>
        <w:spacing w:after="120" w:line="259" w:lineRule="auto"/>
        <w:jc w:val="both"/>
      </w:pPr>
      <w:r>
        <w:rPr>
          <w:rFonts w:ascii="Arial" w:hAnsi="Arial"/>
          <w:color w:val="000000"/>
          <w:sz w:val="20"/>
        </w:rP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jc w:val="both"/>
      </w:pPr>
      <w:r>
        <w:rPr>
          <w:rFonts w:ascii="Arial" w:hAnsi="Arial"/>
          <w:color w:val="000000"/>
          <w:sz w:val="20"/>
        </w:rP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jc w:val="both"/>
      </w:pPr>
      <w:r>
        <w:rPr>
          <w:rFonts w:ascii="Arial" w:hAnsi="Arial"/>
          <w:color w:val="000000"/>
          <w:sz w:val="20"/>
        </w:rPr>
        <w:t>6. Data and code availability</w:t>
      </w:r>
    </w:p>
    <w:p>
      <w:pPr>
        <w:spacing w:after="120" w:line="259" w:lineRule="auto"/>
        <w:jc w:val="both"/>
      </w:pPr>
      <w:r>
        <w:rPr>
          <w:rFonts w:ascii="Arial" w:hAnsi="Arial"/>
          <w:color w:val="000000"/>
          <w:sz w:val="20"/>
        </w:rP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jc w:val="both"/>
      </w:pPr>
      <w:r>
        <w:rPr>
          <w:rFonts w:ascii="Arial" w:hAnsi="Arial"/>
          <w:color w:val="000000"/>
          <w:sz w:val="20"/>
        </w:rPr>
        <w:t>7. References</w:t>
      </w:r>
    </w:p>
    <w:p>
      <w:pPr>
        <w:jc w:val="both"/>
      </w:pPr>
      <w:r>
        <w:rPr>
          <w:rFonts w:ascii="Arial" w:hAnsi="Arial"/>
          <w:color w:val="000000"/>
          <w:sz w:val="20"/>
        </w:rPr>
        <w:t>[1] Barretina J, et al. The Cancer Cell Line Encyclopedia enables predictive modelling of anticancer drug sensitivity. Nature. 2012;483:603-607. doi:10.1038/nature11003.</w:t>
      </w:r>
    </w:p>
    <w:p>
      <w:pPr>
        <w:jc w:val="both"/>
      </w:pPr>
      <w:r>
        <w:rPr>
          <w:rFonts w:ascii="Arial" w:hAnsi="Arial"/>
          <w:color w:val="000000"/>
          <w:sz w:val="20"/>
        </w:rPr>
        <w:t>[2] Iorio F, et al. A landscape of pharmacogenomic interactions in cancer. Cell. 2016;166:740-754. doi:10.1016/j.cell.2016.06.017.</w:t>
      </w:r>
    </w:p>
    <w:p>
      <w:pPr>
        <w:jc w:val="both"/>
      </w:pPr>
      <w:r>
        <w:rPr>
          <w:rFonts w:ascii="Arial" w:hAnsi="Arial"/>
          <w:color w:val="000000"/>
          <w:sz w:val="20"/>
        </w:rPr>
        <w:t>[3] Tsherniak A, et al. Defining a cancer dependency map. Cell. 2017;170:564-576.e16. doi:10.1016/j.cell.2017.06.010.</w:t>
      </w:r>
    </w:p>
    <w:p>
      <w:pPr>
        <w:jc w:val="both"/>
      </w:pPr>
      <w:r>
        <w:rPr>
          <w:rFonts w:ascii="Arial" w:hAnsi="Arial"/>
          <w:color w:val="000000"/>
          <w:sz w:val="20"/>
        </w:rPr>
        <w:t>[4] Azuaje F. Computational models for predicting drug responses in cancer research. Brief Bioinform. 2017;18:820-829. doi:10.1093/bib/bbw065.</w:t>
      </w:r>
    </w:p>
    <w:p>
      <w:pPr>
        <w:jc w:val="both"/>
      </w:pPr>
      <w:r>
        <w:rPr>
          <w:rFonts w:ascii="Arial" w:hAnsi="Arial"/>
          <w:color w:val="000000"/>
          <w:sz w:val="20"/>
        </w:rPr>
        <w:t>[5] Sharifi-Noghabi H, et al. MOLI: multi-omics late integration with deep neural networks for drug response prediction. Bioinformatics. 2019;35:i501-i509. doi:10.1093/bioinformatics/btz318.</w:t>
      </w:r>
    </w:p>
    <w:p>
      <w:pPr>
        <w:jc w:val="both"/>
      </w:pPr>
      <w:r>
        <w:rPr>
          <w:rFonts w:ascii="Arial" w:hAnsi="Arial"/>
          <w:color w:val="000000"/>
          <w:sz w:val="20"/>
        </w:rPr>
        <w:t>[6] Cai Z, et al. Machine learning for multi-omics data integration in cancer. iScience. 2022;25:103798. doi:10.1016/j.isci.2022.103798.</w:t>
      </w:r>
    </w:p>
    <w:p>
      <w:pPr>
        <w:jc w:val="both"/>
      </w:pPr>
      <w:r>
        <w:rPr>
          <w:rFonts w:ascii="Arial" w:hAnsi="Arial"/>
          <w:color w:val="000000"/>
          <w:sz w:val="20"/>
        </w:rPr>
        <w:t>[7] DepMap. How should I cite DepMap data? DepMap Portal. Updated 2025.</w:t>
      </w:r>
    </w:p>
    <w:p>
      <w:pPr>
        <w:jc w:val="both"/>
      </w:pPr>
      <w:r>
        <w:rPr>
          <w:rFonts w:ascii="Arial" w:hAnsi="Arial"/>
          <w:color w:val="000000"/>
          <w:sz w:val="20"/>
        </w:rPr>
        <w:t>[8] Kuenzi BM, et al. Predicting drug response and synergy using a deep learning model of human cancer cells. Cancer Cell. 2020;38:672-684.e6. doi:10.1016/j.ccell.2020.09.014.</w:t>
      </w:r>
    </w:p>
    <w:p>
      <w:pPr>
        <w:jc w:val="both"/>
      </w:pPr>
      <w:r>
        <w:rPr>
          <w:rFonts w:ascii="Arial" w:hAnsi="Arial"/>
          <w:color w:val="000000"/>
          <w:sz w:val="20"/>
        </w:rPr>
        <w:t>[9] Chawla S, Rockstroh A, Lehman M, et al. Gene expression based inference of cancer drug sensitivity. Nat Commun. 2022;13:5680. doi:10.1038/s41467-022-33291-z.</w:t>
      </w:r>
    </w:p>
    <w:p>
      <w:pPr>
        <w:jc w:val="both"/>
      </w:pPr>
      <w:r>
        <w:rPr>
          <w:rFonts w:ascii="Arial" w:hAnsi="Arial"/>
          <w:color w:val="000000"/>
          <w:sz w:val="20"/>
        </w:rPr>
        <w:t>[10] Baptista D, Ferreira PG, Rocha M. Deep learning for drug response prediction in cancer. Brief Bioinform. 2023;24:bbac605. doi:10.1093/bib/bbac605.</w:t>
      </w:r>
    </w:p>
    <w:p>
      <w:pPr>
        <w:jc w:val="both"/>
      </w:pPr>
      <w:r>
        <w:rPr>
          <w:rFonts w:ascii="Arial" w:hAnsi="Arial"/>
          <w:color w:val="000000"/>
          <w:sz w:val="20"/>
        </w:rPr>
        <w:t>[11] Gouru G. Precision oncology: Computational methods for multi-omics data integration to improve drug response prediction. Cambridge Prisms Precis Med. 2025;3:e6. doi:10.1017/pcm.2025.10003.</w:t>
      </w:r>
    </w:p>
    <w:p>
      <w:pPr>
        <w:jc w:val="both"/>
      </w:pPr>
      <w:r>
        <w:rPr>
          <w:rFonts w:ascii="Arial" w:hAnsi="Arial"/>
          <w:color w:val="000000"/>
          <w:sz w:val="20"/>
        </w:rPr>
        <w:t>[12] Li D, et al. Multi-omics modality completion and knowledge distillation for drug response prediction in cervical cancer. Front Oncol. 2025;15:1622600. doi:10.3389/fonc.2025.1622600.</w:t>
      </w:r>
    </w:p>
    <w:p>
      <w:pPr>
        <w:jc w:val="both"/>
      </w:pPr>
      <w:r>
        <w:rPr>
          <w:rFonts w:ascii="Arial" w:hAnsi="Arial"/>
          <w:color w:val="000000"/>
          <w:sz w:val="20"/>
        </w:rPr>
        <w:t>[13] Del Real KS, et al. Foundation models and deep learning for cancer drug response prediction: a framework for data, metrics, and validation. Brief Bioinform. 2026;27:bbag225. doi:10.1093/bib/bbag225.</w:t>
      </w:r>
    </w:p>
    <w:p>
      <w:pPr>
        <w:jc w:val="both"/>
      </w:pPr>
      <w:r>
        <w:rPr>
          <w:rFonts w:ascii="Arial" w:hAnsi="Arial"/>
          <w:color w:val="000000"/>
          <w:sz w:val="20"/>
        </w:rPr>
        <w:t>[14] Partin A, et al. Benchmarking community drug response prediction models: datasets, models, tools, and metrics for cross-dataset generalization analysis. Brief Bioinform. 2026;27(1):bbaf667. doi:10.1093/bib/bbaf667.</w:t>
      </w:r>
    </w:p>
    <w:p>
      <w:pPr>
        <w:jc w:val="both"/>
      </w:pPr>
      <w:r>
        <w:rPr>
          <w:rFonts w:ascii="Arial" w:hAnsi="Arial"/>
          <w:color w:val="000000"/>
          <w:sz w:val="20"/>
        </w:rPr>
        <w:t>[15] Bernett J, et al. Critical evaluation of drug response prediction models with DrEval. Nat Commun. 2026;17:4238. doi:10.1038/s41467-026-72903-w.</w:t>
      </w:r>
    </w:p>
    <w:p>
      <w:pPr>
        <w:jc w:val="both"/>
      </w:pPr>
      <w:r>
        <w:rPr>
          <w:rFonts w:ascii="Arial" w:hAnsi="Arial"/>
          <w:color w:val="000000"/>
          <w:sz w:val="20"/>
        </w:rPr>
        <w:t>[16] Carli F, et al. CellHit: a web server to predict and analyze cancer patients’ drug responsiveness. Nucleic Acids Res. 2025;53(W1):W143-W150. doi:10.1093/nar/gkaf414.</w:t>
      </w:r>
    </w:p>
    <w:p>
      <w:pPr>
        <w:jc w:val="both"/>
      </w:pPr>
      <w:r>
        <w:rPr>
          <w:rFonts w:ascii="Arial" w:hAnsi="Arial"/>
          <w:color w:val="000000"/>
          <w:sz w:val="20"/>
        </w:rPr>
        <w:t>[17] Wang Q, et al. scDrugMap: benchmarking large foundation models for drug response prediction. Nat Commun. 2026;17:730. doi:10.1038/s41467-025-67481-2.</w:t>
      </w:r>
    </w:p>
    <w:p>
      <w:pPr>
        <w:jc w:val="both"/>
      </w:pPr>
      <w:r>
        <w:rPr>
          <w:rFonts w:ascii="Arial" w:hAnsi="Arial"/>
          <w:color w:val="000000"/>
          <w:sz w:val="20"/>
        </w:rPr>
        <w:t>[18] Automated real-world data integration improves cancer outcome prediction. Nature. 2024;629:123-131. doi:10.1038/s41586-024-08167-5.</w:t>
      </w:r>
    </w:p>
    <w:p>
      <w:pPr>
        <w:jc w:val="both"/>
      </w:pPr>
      <w:r>
        <w:rPr>
          <w:rFonts w:ascii="Arial" w:hAnsi="Arial"/>
          <w:color w:val="000000"/>
          <w:sz w:val="20"/>
        </w:rPr>
        <w:br w:type="page"/>
      </w:r>
    </w:p>
    <w:p>
      <w:pPr>
        <w:pStyle w:val="Heading1"/>
        <w:keepNext/>
        <w:jc w:val="both"/>
      </w:pPr>
      <w:r>
        <w:rPr>
          <w:rFonts w:ascii="Arial" w:hAnsi="Arial"/>
          <w:color w:val="000000"/>
          <w:sz w:val="20"/>
        </w:rPr>
        <w:t>Appendix A. Reproducibility and reporting specification</w:t>
      </w:r>
    </w:p>
    <w:p>
      <w:pPr>
        <w:spacing w:after="120" w:line="259" w:lineRule="auto"/>
        <w:jc w:val="both"/>
      </w:pPr>
      <w:r>
        <w:rPr>
          <w:rFonts w:ascii="Arial" w:hAnsi="Arial"/>
          <w:color w:val="000000"/>
          <w:sz w:val="20"/>
        </w:rP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jc w:val="both"/>
      </w:pPr>
      <w:r>
        <w:rPr>
          <w:rFonts w:ascii="Arial" w:hAnsi="Arial"/>
          <w:color w:val="000000"/>
          <w:sz w:val="20"/>
        </w:rPr>
        <w:t>A.1. Analysis sequence</w:t>
      </w:r>
    </w:p>
    <w:p>
      <w:pPr>
        <w:spacing w:after="120" w:line="259" w:lineRule="auto"/>
        <w:jc w:val="both"/>
      </w:pPr>
      <w:r>
        <w:rPr>
          <w:rFonts w:ascii="Arial" w:hAnsi="Arial"/>
          <w:color w:val="000000"/>
          <w:sz w:val="20"/>
        </w:rP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jc w:val="both"/>
      </w:pPr>
      <w:r>
        <w:rPr>
          <w:rFonts w:ascii="Arial" w:hAnsi="Arial"/>
          <w:b/>
          <w:color w:val="000000"/>
          <w:sz w:val="20"/>
        </w:rPr>
        <w:t xml:space="preserve">Table 7. </w:t>
      </w:r>
      <w:r>
        <w:rPr>
          <w:rFonts w:ascii="Arial" w:hAnsi="Arial"/>
          <w:color w:val="000000"/>
          <w:sz w:val="20"/>
        </w:rP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Control</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Implementation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Reason</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Drug grouping</w:t>
            </w:r>
          </w:p>
        </w:tc>
        <w:tc>
          <w:tcPr>
            <w:tcW w:type="dxa" w:w="3264"/>
            <w:vAlign w:val="center"/>
          </w:tcPr>
          <w:p>
            <w:pPr>
              <w:spacing w:after="0"/>
              <w:jc w:val="both"/>
            </w:pPr>
            <w:r>
              <w:rPr>
                <w:rFonts w:ascii="Arial" w:hAnsi="Arial"/>
                <w:color w:val="000000"/>
                <w:sz w:val="20"/>
              </w:rPr>
            </w:r>
            <w:r>
              <w:rPr>
                <w:rFonts w:ascii="Arial" w:hAnsi="Arial"/>
                <w:b w:val="0"/>
                <w:color w:val="000000"/>
                <w:sz w:val="20"/>
              </w:rPr>
              <w:t>GroupShuffleSplit by drug_id_raw</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the same drug response group crossing train/test</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Feature selection</w:t>
            </w:r>
          </w:p>
        </w:tc>
        <w:tc>
          <w:tcPr>
            <w:tcW w:type="dxa" w:w="3264"/>
            <w:vAlign w:val="center"/>
          </w:tcPr>
          <w:p>
            <w:pPr>
              <w:spacing w:after="0"/>
              <w:jc w:val="both"/>
            </w:pPr>
            <w:r>
              <w:rPr>
                <w:rFonts w:ascii="Arial" w:hAnsi="Arial"/>
                <w:color w:val="000000"/>
                <w:sz w:val="20"/>
              </w:rPr>
            </w:r>
            <w:r>
              <w:rPr>
                <w:rFonts w:ascii="Arial" w:hAnsi="Arial"/>
                <w:b w:val="0"/>
                <w:color w:val="000000"/>
                <w:sz w:val="20"/>
              </w:rPr>
              <w:t>Top 2,000 per modality inside training fold</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test-informed feature ranking</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Imputation</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median applied to test rows</w:t>
            </w:r>
          </w:p>
        </w:tc>
        <w:tc>
          <w:tcPr>
            <w:tcW w:type="dxa" w:w="3264"/>
            <w:vAlign w:val="center"/>
          </w:tcPr>
          <w:p>
            <w:pPr>
              <w:spacing w:after="0"/>
              <w:jc w:val="both"/>
            </w:pPr>
            <w:r>
              <w:rPr>
                <w:rFonts w:ascii="Arial" w:hAnsi="Arial"/>
                <w:color w:val="000000"/>
                <w:sz w:val="20"/>
              </w:rPr>
            </w:r>
            <w:r>
              <w:rPr>
                <w:rFonts w:ascii="Arial" w:hAnsi="Arial"/>
                <w:b w:val="0"/>
                <w:color w:val="000000"/>
                <w:sz w:val="20"/>
              </w:rPr>
              <w:t>Avoids test-derived preprocessing parameters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Scaling</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standardization</w:t>
            </w:r>
          </w:p>
        </w:tc>
        <w:tc>
          <w:tcPr>
            <w:tcW w:type="dxa" w:w="3264"/>
            <w:vAlign w:val="center"/>
          </w:tcPr>
          <w:p>
            <w:pPr>
              <w:spacing w:after="0"/>
              <w:jc w:val="both"/>
            </w:pPr>
            <w:r>
              <w:rPr>
                <w:rFonts w:ascii="Arial" w:hAnsi="Arial"/>
                <w:color w:val="000000"/>
                <w:sz w:val="20"/>
              </w:rPr>
            </w:r>
            <w:r>
              <w:rPr>
                <w:rFonts w:ascii="Arial" w:hAnsi="Arial"/>
                <w:b w:val="0"/>
                <w:color w:val="000000"/>
                <w:sz w:val="20"/>
              </w:rPr>
              <w:t>Places feature blocks on a common fitted scale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Learner</w:t>
            </w:r>
          </w:p>
        </w:tc>
        <w:tc>
          <w:tcPr>
            <w:tcW w:type="dxa" w:w="3264"/>
            <w:vAlign w:val="center"/>
          </w:tcPr>
          <w:p>
            <w:pPr>
              <w:spacing w:after="0"/>
              <w:jc w:val="both"/>
            </w:pPr>
            <w:r>
              <w:rPr>
                <w:rFonts w:ascii="Arial" w:hAnsi="Arial"/>
                <w:color w:val="000000"/>
                <w:sz w:val="20"/>
              </w:rPr>
            </w:r>
            <w:r>
              <w:rPr>
                <w:rFonts w:ascii="Arial" w:hAnsi="Arial"/>
                <w:b w:val="0"/>
                <w:color w:val="000000"/>
                <w:sz w:val="20"/>
              </w:rPr>
              <w:t>Ridge, alpha = 1.0 for every block</w:t>
            </w:r>
          </w:p>
        </w:tc>
        <w:tc>
          <w:tcPr>
            <w:tcW w:type="dxa" w:w="3264"/>
            <w:vAlign w:val="center"/>
          </w:tcPr>
          <w:p>
            <w:pPr>
              <w:spacing w:after="0"/>
              <w:jc w:val="both"/>
            </w:pPr>
            <w:r>
              <w:rPr>
                <w:rFonts w:ascii="Arial" w:hAnsi="Arial"/>
                <w:color w:val="000000"/>
                <w:sz w:val="20"/>
              </w:rPr>
            </w:r>
            <w:r>
              <w:rPr>
                <w:rFonts w:ascii="Arial" w:hAnsi="Arial"/>
                <w:b w:val="0"/>
                <w:color w:val="000000"/>
                <w:sz w:val="20"/>
              </w:rPr>
              <w:t>Keeps the model comparison controlled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Primary metrics</w:t>
            </w:r>
          </w:p>
        </w:tc>
        <w:tc>
          <w:tcPr>
            <w:tcW w:type="dxa" w:w="3264"/>
            <w:vAlign w:val="center"/>
          </w:tcPr>
          <w:p>
            <w:pPr>
              <w:spacing w:after="0"/>
              <w:jc w:val="both"/>
            </w:pPr>
            <w:r>
              <w:rPr>
                <w:rFonts w:ascii="Arial" w:hAnsi="Arial"/>
                <w:color w:val="000000"/>
                <w:sz w:val="20"/>
              </w:rPr>
            </w:r>
            <w:r>
              <w:rPr>
                <w:rFonts w:ascii="Arial" w:hAnsi="Arial"/>
                <w:b w:val="0"/>
                <w:color w:val="000000"/>
                <w:sz w:val="20"/>
              </w:rPr>
              <w:t>MAE and RMSE</w:t>
            </w:r>
          </w:p>
        </w:tc>
        <w:tc>
          <w:tcPr>
            <w:tcW w:type="dxa" w:w="3264"/>
            <w:vAlign w:val="center"/>
          </w:tcPr>
          <w:p>
            <w:pPr>
              <w:spacing w:after="0"/>
              <w:jc w:val="both"/>
            </w:pPr>
            <w:r>
              <w:rPr>
                <w:rFonts w:ascii="Arial" w:hAnsi="Arial"/>
                <w:color w:val="000000"/>
                <w:sz w:val="20"/>
              </w:rPr>
            </w:r>
            <w:r>
              <w:rPr>
                <w:rFonts w:ascii="Arial" w:hAnsi="Arial"/>
                <w:b w:val="0"/>
                <w:color w:val="000000"/>
                <w:sz w:val="20"/>
              </w:rPr>
              <w:t>Reports typical and squared-error sensitivity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Transfer test</w:t>
            </w:r>
          </w:p>
        </w:tc>
        <w:tc>
          <w:tcPr>
            <w:tcW w:type="dxa" w:w="3264"/>
            <w:vAlign w:val="center"/>
          </w:tcPr>
          <w:p>
            <w:pPr>
              <w:spacing w:after="0"/>
              <w:jc w:val="both"/>
            </w:pPr>
            <w:r>
              <w:rPr>
                <w:rFonts w:ascii="Arial" w:hAnsi="Arial"/>
                <w:color w:val="000000"/>
                <w:sz w:val="20"/>
              </w:rPr>
            </w:r>
            <w:r>
              <w:rPr>
                <w:rFonts w:ascii="Arial" w:hAnsi="Arial"/>
                <w:b w:val="0"/>
                <w:color w:val="000000"/>
                <w:sz w:val="20"/>
              </w:rPr>
              <w:t>Hold out one full source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Measures domain transfer rather than same-drug replication</w:t>
            </w:r>
          </w:p>
        </w:tc>
      </w:tr>
    </w:tbl>
    <w:p>
      <w:pPr>
        <w:spacing w:after="40"/>
        <w:jc w:val="both"/>
      </w:pPr>
    </w:p>
    <w:p>
      <w:pPr>
        <w:pStyle w:val="Heading2"/>
        <w:keepNext/>
        <w:jc w:val="both"/>
      </w:pPr>
      <w:r>
        <w:rPr>
          <w:rFonts w:ascii="Arial" w:hAnsi="Arial"/>
          <w:color w:val="000000"/>
          <w:sz w:val="20"/>
        </w:rPr>
        <w:t>A.2. Estimands and comparison rules</w:t>
      </w:r>
    </w:p>
    <w:p>
      <w:pPr>
        <w:spacing w:after="120" w:line="259" w:lineRule="auto"/>
        <w:jc w:val="both"/>
      </w:pPr>
      <w:r>
        <w:rPr>
          <w:rFonts w:ascii="Arial" w:hAnsi="Arial"/>
          <w:color w:val="000000"/>
          <w:sz w:val="20"/>
        </w:rP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jc w:val="both"/>
      </w:pPr>
      <w:r>
        <w:rPr>
          <w:rFonts w:ascii="Arial" w:hAnsi="Arial"/>
          <w:color w:val="000000"/>
          <w:sz w:val="20"/>
        </w:rPr>
        <w:t>A.3. Missingness and availability audit</w:t>
      </w:r>
    </w:p>
    <w:p>
      <w:pPr>
        <w:spacing w:after="120" w:line="259" w:lineRule="auto"/>
        <w:jc w:val="both"/>
      </w:pPr>
      <w:r>
        <w:rPr>
          <w:rFonts w:ascii="Arial" w:hAnsi="Arial"/>
          <w:color w:val="000000"/>
          <w:sz w:val="20"/>
        </w:rP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jc w:val="both"/>
      </w:pPr>
      <w:r>
        <w:rPr>
          <w:rFonts w:ascii="Arial" w:hAnsi="Arial"/>
          <w:b/>
          <w:color w:val="000000"/>
          <w:sz w:val="20"/>
        </w:rPr>
        <w:t xml:space="preserve">Table 8. </w:t>
      </w:r>
      <w:r>
        <w:rPr>
          <w:rFonts w:ascii="Arial" w:hAnsi="Arial"/>
          <w:color w:val="000000"/>
          <w:sz w:val="20"/>
        </w:rP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Observed result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Permitted interpretation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Not supported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improves in 3 of 5 drug-held-out seeds</w:t>
            </w:r>
          </w:p>
        </w:tc>
        <w:tc>
          <w:tcPr>
            <w:tcW w:type="dxa" w:w="3264"/>
            <w:vAlign w:val="center"/>
          </w:tcPr>
          <w:p>
            <w:pPr>
              <w:spacing w:after="0"/>
              <w:jc w:val="both"/>
            </w:pPr>
            <w:r>
              <w:rPr>
                <w:rFonts w:ascii="Arial" w:hAnsi="Arial"/>
                <w:color w:val="000000"/>
                <w:sz w:val="20"/>
              </w:rPr>
            </w:r>
            <w:r>
              <w:rPr>
                <w:rFonts w:ascii="Arial" w:hAnsi="Arial"/>
                <w:b w:val="0"/>
                <w:color w:val="000000"/>
                <w:sz w:val="20"/>
              </w:rPr>
              <w:t>Small conditional improvement under this benchmark</w:t>
            </w:r>
          </w:p>
        </w:tc>
        <w:tc>
          <w:tcPr>
            <w:tcW w:type="dxa" w:w="3264"/>
            <w:vAlign w:val="center"/>
          </w:tcPr>
          <w:p>
            <w:pPr>
              <w:spacing w:after="0"/>
              <w:jc w:val="both"/>
            </w:pPr>
            <w:r>
              <w:rPr>
                <w:rFonts w:ascii="Arial" w:hAnsi="Arial"/>
                <w:color w:val="000000"/>
                <w:sz w:val="20"/>
              </w:rPr>
            </w:r>
            <w:r>
              <w:rPr>
                <w:rFonts w:ascii="Arial" w:hAnsi="Arial"/>
                <w:b w:val="0"/>
                <w:color w:val="000000"/>
                <w:sz w:val="20"/>
              </w:rPr>
              <w:t>Universal multimodal superiority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worsens all 3 LOOD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Transfer failure in these source-held-out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Proof of a biological incompatibility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Availability differs by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Data structure is source-dependent</w:t>
            </w:r>
          </w:p>
        </w:tc>
        <w:tc>
          <w:tcPr>
            <w:tcW w:type="dxa" w:w="3264"/>
            <w:vAlign w:val="center"/>
          </w:tcPr>
          <w:p>
            <w:pPr>
              <w:spacing w:after="0"/>
              <w:jc w:val="both"/>
            </w:pPr>
            <w:r>
              <w:rPr>
                <w:rFonts w:ascii="Arial" w:hAnsi="Arial"/>
                <w:color w:val="000000"/>
                <w:sz w:val="20"/>
              </w:rPr>
            </w:r>
            <w:r>
              <w:rPr>
                <w:rFonts w:ascii="Arial" w:hAnsi="Arial"/>
                <w:b w:val="0"/>
                <w:color w:val="000000"/>
                <w:sz w:val="20"/>
              </w:rPr>
              <w:t>Missingness caused the error difference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Modality correlations are weak-to-moderate</w:t>
            </w:r>
          </w:p>
        </w:tc>
        <w:tc>
          <w:tcPr>
            <w:tcW w:type="dxa" w:w="3264"/>
            <w:vAlign w:val="center"/>
          </w:tcPr>
          <w:p>
            <w:pPr>
              <w:spacing w:after="0"/>
              <w:jc w:val="both"/>
            </w:pPr>
            <w:r>
              <w:rPr>
                <w:rFonts w:ascii="Arial" w:hAnsi="Arial"/>
                <w:color w:val="000000"/>
                <w:sz w:val="20"/>
              </w:rPr>
            </w:r>
            <w:r>
              <w:rPr>
                <w:rFonts w:ascii="Arial" w:hAnsi="Arial"/>
                <w:b w:val="0"/>
                <w:color w:val="000000"/>
                <w:sz w:val="20"/>
              </w:rPr>
              <w:t>Some redundancy and complementarity coexist</w:t>
            </w:r>
          </w:p>
        </w:tc>
        <w:tc>
          <w:tcPr>
            <w:tcW w:type="dxa" w:w="3264"/>
            <w:vAlign w:val="center"/>
          </w:tcPr>
          <w:p>
            <w:pPr>
              <w:spacing w:after="0"/>
              <w:jc w:val="both"/>
            </w:pPr>
            <w:r>
              <w:rPr>
                <w:rFonts w:ascii="Arial" w:hAnsi="Arial"/>
                <w:color w:val="000000"/>
                <w:sz w:val="20"/>
              </w:rPr>
            </w:r>
            <w:r>
              <w:rPr>
                <w:rFonts w:ascii="Arial" w:hAnsi="Arial"/>
                <w:b w:val="0"/>
                <w:color w:val="000000"/>
                <w:sz w:val="20"/>
              </w:rPr>
              <w:t>A causal redundancy mechanism</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Ridge is reproducible and controlled</w:t>
            </w:r>
          </w:p>
        </w:tc>
        <w:tc>
          <w:tcPr>
            <w:tcW w:type="dxa" w:w="3264"/>
            <w:vAlign w:val="center"/>
          </w:tcPr>
          <w:p>
            <w:pPr>
              <w:spacing w:after="0"/>
              <w:jc w:val="both"/>
            </w:pPr>
            <w:r>
              <w:rPr>
                <w:rFonts w:ascii="Arial" w:hAnsi="Arial"/>
                <w:color w:val="000000"/>
                <w:sz w:val="20"/>
              </w:rPr>
            </w:r>
            <w:r>
              <w:rPr>
                <w:rFonts w:ascii="Arial" w:hAnsi="Arial"/>
                <w:b w:val="0"/>
                <w:color w:val="000000"/>
                <w:sz w:val="20"/>
              </w:rPr>
              <w:t>A transparent reference baseline</w:t>
            </w:r>
          </w:p>
        </w:tc>
        <w:tc>
          <w:tcPr>
            <w:tcW w:type="dxa" w:w="3264"/>
            <w:vAlign w:val="center"/>
          </w:tcPr>
          <w:p>
            <w:pPr>
              <w:spacing w:after="0"/>
              <w:jc w:val="both"/>
            </w:pPr>
            <w:r>
              <w:rPr>
                <w:rFonts w:ascii="Arial" w:hAnsi="Arial"/>
                <w:color w:val="000000"/>
                <w:sz w:val="20"/>
              </w:rPr>
            </w:r>
            <w:r>
              <w:rPr>
                <w:rFonts w:ascii="Arial" w:hAnsi="Arial"/>
                <w:b w:val="0"/>
                <w:color w:val="000000"/>
                <w:sz w:val="20"/>
              </w:rPr>
              <w:t>The best possible learner</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15 compounds are declared</w:t>
            </w:r>
          </w:p>
        </w:tc>
        <w:tc>
          <w:tcPr>
            <w:tcW w:type="dxa" w:w="3264"/>
            <w:vAlign w:val="center"/>
          </w:tcPr>
          <w:p>
            <w:pPr>
              <w:spacing w:after="0"/>
              <w:jc w:val="both"/>
            </w:pPr>
            <w:r>
              <w:rPr>
                <w:rFonts w:ascii="Arial" w:hAnsi="Arial"/>
                <w:color w:val="000000"/>
                <w:sz w:val="20"/>
              </w:rPr>
            </w:r>
            <w:r>
              <w:rPr>
                <w:rFonts w:ascii="Arial" w:hAnsi="Arial"/>
                <w:b w:val="0"/>
                <w:color w:val="000000"/>
                <w:sz w:val="20"/>
              </w:rPr>
              <w:t>Results are bounded to the declared universe</w:t>
            </w:r>
          </w:p>
        </w:tc>
        <w:tc>
          <w:tcPr>
            <w:tcW w:type="dxa" w:w="3264"/>
            <w:vAlign w:val="center"/>
          </w:tcPr>
          <w:p>
            <w:pPr>
              <w:spacing w:after="0"/>
              <w:jc w:val="both"/>
            </w:pPr>
            <w:r>
              <w:rPr>
                <w:rFonts w:ascii="Arial" w:hAnsi="Arial"/>
                <w:color w:val="000000"/>
                <w:sz w:val="20"/>
              </w:rPr>
            </w:r>
            <w:r>
              <w:rPr>
                <w:rFonts w:ascii="Arial" w:hAnsi="Arial"/>
                <w:b w:val="0"/>
                <w:color w:val="000000"/>
                <w:sz w:val="20"/>
              </w:rPr>
              <w:t>Generalization to all compounds</w:t>
            </w:r>
          </w:p>
        </w:tc>
      </w:tr>
    </w:tbl>
    <w:p>
      <w:pPr>
        <w:spacing w:after="40"/>
        <w:jc w:val="both"/>
      </w:pPr>
    </w:p>
    <w:p>
      <w:pPr>
        <w:pStyle w:val="Heading2"/>
        <w:keepNext/>
        <w:jc w:val="both"/>
      </w:pPr>
      <w:r>
        <w:rPr>
          <w:rFonts w:ascii="Arial" w:hAnsi="Arial"/>
          <w:color w:val="000000"/>
          <w:sz w:val="20"/>
        </w:rPr>
        <w:t>A.4. Recommended extensions</w:t>
      </w:r>
    </w:p>
    <w:p>
      <w:pPr>
        <w:spacing w:after="120" w:line="259" w:lineRule="auto"/>
        <w:jc w:val="both"/>
      </w:pPr>
      <w:r>
        <w:rPr>
          <w:rFonts w:ascii="Arial" w:hAnsi="Arial"/>
          <w:color w:val="000000"/>
          <w:sz w:val="20"/>
        </w:rP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jc w:val="both"/>
      </w:pPr>
      <w:r>
        <w:rPr>
          <w:rFonts w:ascii="Arial" w:hAnsi="Arial"/>
          <w:color w:val="000000"/>
          <w:sz w:val="20"/>
        </w:rPr>
        <w:t>A.5. Minimum reporting checklist for future comparisons</w:t>
      </w:r>
    </w:p>
    <w:p>
      <w:pPr>
        <w:spacing w:after="120" w:line="259" w:lineRule="auto"/>
        <w:jc w:val="both"/>
      </w:pPr>
      <w:r>
        <w:rPr>
          <w:rFonts w:ascii="Arial" w:hAnsi="Arial"/>
          <w:color w:val="000000"/>
          <w:sz w:val="20"/>
        </w:rP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pPr>
        <w:jc w:val="both"/>
      </w:pPr>
      <w:r>
        <w:rPr>
          <w:rFonts w:ascii="Arial" w:hAnsi="Arial"/>
          <w:b/>
          <w:color w:val="000000"/>
          <w:sz w:val="20"/>
        </w:rPr>
        <w:t xml:space="preserve">Table 9. </w:t>
      </w:r>
      <w:r>
        <w:rPr>
          <w:rFonts w:ascii="Arial" w:hAnsi="Arial"/>
          <w:color w:val="000000"/>
          <w:sz w:val="20"/>
        </w:rP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Field</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Required record</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Data provenance</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release label, download date, checksum</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Population</w:t>
            </w:r>
          </w:p>
        </w:tc>
        <w:tc>
          <w:tcPr>
            <w:tcW w:type="dxa" w:w="4896"/>
            <w:vAlign w:val="center"/>
          </w:tcPr>
          <w:p>
            <w:pPr>
              <w:spacing w:after="0"/>
              <w:jc w:val="both"/>
            </w:pPr>
            <w:r>
              <w:rPr>
                <w:rFonts w:ascii="Arial" w:hAnsi="Arial"/>
                <w:color w:val="000000"/>
                <w:sz w:val="20"/>
              </w:rPr>
            </w:r>
            <w:r>
              <w:rPr>
                <w:rFonts w:ascii="Arial" w:hAnsi="Arial"/>
                <w:b w:val="0"/>
                <w:color w:val="000000"/>
                <w:sz w:val="20"/>
              </w:rPr>
              <w:t>Dataset, compound list, cell-line identifier, row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Preprocessing</w:t>
            </w:r>
          </w:p>
        </w:tc>
        <w:tc>
          <w:tcPr>
            <w:tcW w:type="dxa" w:w="4896"/>
            <w:vAlign w:val="center"/>
          </w:tcPr>
          <w:p>
            <w:pPr>
              <w:spacing w:after="0"/>
              <w:jc w:val="both"/>
            </w:pPr>
            <w:r>
              <w:rPr>
                <w:rFonts w:ascii="Arial" w:hAnsi="Arial"/>
                <w:color w:val="000000"/>
                <w:sz w:val="20"/>
              </w:rPr>
            </w:r>
            <w:r>
              <w:rPr>
                <w:rFonts w:ascii="Arial" w:hAnsi="Arial"/>
                <w:b w:val="0"/>
                <w:color w:val="000000"/>
                <w:sz w:val="20"/>
              </w:rPr>
              <w:t>Imputation, scaling, filtering, feature-selection order</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Split type, grouping unit, seed, train/test counts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Model</w:t>
            </w:r>
          </w:p>
        </w:tc>
        <w:tc>
          <w:tcPr>
            <w:tcW w:type="dxa" w:w="4896"/>
            <w:vAlign w:val="center"/>
          </w:tcPr>
          <w:p>
            <w:pPr>
              <w:spacing w:after="0"/>
              <w:jc w:val="both"/>
            </w:pPr>
            <w:r>
              <w:rPr>
                <w:rFonts w:ascii="Arial" w:hAnsi="Arial"/>
                <w:color w:val="000000"/>
                <w:sz w:val="20"/>
              </w:rPr>
            </w:r>
            <w:r>
              <w:rPr>
                <w:rFonts w:ascii="Arial" w:hAnsi="Arial"/>
                <w:b w:val="0"/>
                <w:color w:val="000000"/>
                <w:sz w:val="20"/>
              </w:rPr>
              <w:t>Modality, learner, hyperparameters, feature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Performance</w:t>
            </w:r>
          </w:p>
        </w:tc>
        <w:tc>
          <w:tcPr>
            <w:tcW w:type="dxa" w:w="4896"/>
            <w:vAlign w:val="center"/>
          </w:tcPr>
          <w:p>
            <w:pPr>
              <w:spacing w:after="0"/>
              <w:jc w:val="both"/>
            </w:pPr>
            <w:r>
              <w:rPr>
                <w:rFonts w:ascii="Arial" w:hAnsi="Arial"/>
                <w:color w:val="000000"/>
                <w:sz w:val="20"/>
              </w:rPr>
            </w:r>
            <w:r>
              <w:rPr>
                <w:rFonts w:ascii="Arial" w:hAnsi="Arial"/>
                <w:b w:val="0"/>
                <w:color w:val="000000"/>
                <w:sz w:val="20"/>
              </w:rPr>
              <w:t>MAE, RMSE, delta to expression baseline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Availability</w:t>
            </w:r>
          </w:p>
        </w:tc>
        <w:tc>
          <w:tcPr>
            <w:tcW w:type="dxa" w:w="4896"/>
            <w:vAlign w:val="center"/>
          </w:tcPr>
          <w:p>
            <w:pPr>
              <w:spacing w:after="0"/>
              <w:jc w:val="both"/>
            </w:pPr>
            <w:r>
              <w:rPr>
                <w:rFonts w:ascii="Arial" w:hAnsi="Arial"/>
                <w:color w:val="000000"/>
                <w:sz w:val="20"/>
              </w:rPr>
            </w:r>
            <w:r>
              <w:rPr>
                <w:rFonts w:ascii="Arial" w:hAnsi="Arial"/>
                <w:b w:val="0"/>
                <w:color w:val="000000"/>
                <w:sz w:val="20"/>
              </w:rPr>
              <w:t>Complete rows, modality-specific availability, missing rows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Interpretation</w:t>
            </w:r>
          </w:p>
        </w:tc>
        <w:tc>
          <w:tcPr>
            <w:tcW w:type="dxa" w:w="4896"/>
            <w:vAlign w:val="center"/>
          </w:tcPr>
          <w:p>
            <w:pPr>
              <w:spacing w:after="0"/>
              <w:jc w:val="both"/>
            </w:pPr>
            <w:r>
              <w:rPr>
                <w:rFonts w:ascii="Arial" w:hAnsi="Arial"/>
                <w:color w:val="000000"/>
                <w:sz w:val="20"/>
              </w:rPr>
            </w:r>
            <w:r>
              <w:rPr>
                <w:rFonts w:ascii="Arial" w:hAnsi="Arial"/>
                <w:b w:val="0"/>
                <w:color w:val="000000"/>
                <w:sz w:val="20"/>
              </w:rPr>
              <w:t>Transfer target, limitations, and whether claims are causal</w:t>
            </w:r>
          </w:p>
        </w:tc>
      </w:tr>
    </w:tbl>
    <w:p>
      <w:pPr>
        <w:spacing w:after="40"/>
        <w:jc w:val="both"/>
      </w:pPr>
    </w:p>
    <w:p>
      <w:pPr>
        <w:jc w:val="both"/>
      </w:pPr>
      <w:r>
        <w:rPr>
          <w:rFonts w:ascii="Arial" w:hAnsi="Arial"/>
          <w:color w:val="000000"/>
          <w:sz w:val="20"/>
        </w:rPr>
        <w:br w:type="page"/>
      </w:r>
    </w:p>
    <w:p>
      <w:pPr>
        <w:pStyle w:val="Heading1"/>
        <w:keepNext/>
        <w:jc w:val="both"/>
      </w:pPr>
      <w:r>
        <w:rPr>
          <w:rFonts w:ascii="Arial" w:hAnsi="Arial"/>
          <w:color w:val="000000"/>
          <w:sz w:val="20"/>
        </w:rPr>
        <w:t>Supplementary material</w:t>
      </w:r>
    </w:p>
    <w:p>
      <w:pPr>
        <w:spacing w:after="120" w:line="259" w:lineRule="auto"/>
        <w:jc w:val="both"/>
      </w:pPr>
      <w:r>
        <w:rPr>
          <w:rFonts w:ascii="Arial" w:hAnsi="Arial"/>
          <w:color w:val="000000"/>
          <w:sz w:val="20"/>
        </w:rP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jc w:val="both"/>
      </w:pPr>
      <w:r>
        <w:rPr>
          <w:rFonts w:ascii="Arial" w:hAnsi="Arial"/>
          <w:b/>
          <w:color w:val="000000"/>
          <w:sz w:val="20"/>
        </w:rPr>
        <w:t xml:space="preserve">Supplementary Table S2. </w:t>
      </w:r>
      <w:r>
        <w:rPr>
          <w:rFonts w:ascii="Arial" w:hAnsi="Arial"/>
          <w:color w:val="000000"/>
          <w:sz w:val="20"/>
        </w:rP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Complete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Missing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Total rows</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1513</w:t>
            </w:r>
          </w:p>
        </w:tc>
        <w:tc>
          <w:tcPr>
            <w:tcW w:type="dxa" w:w="2448"/>
            <w:vAlign w:val="center"/>
          </w:tcPr>
          <w:p>
            <w:pPr>
              <w:spacing w:after="0"/>
              <w:jc w:val="both"/>
            </w:pPr>
            <w:r>
              <w:rPr>
                <w:rFonts w:ascii="Arial" w:hAnsi="Arial"/>
                <w:color w:val="000000"/>
                <w:sz w:val="20"/>
              </w:rPr>
            </w:r>
            <w:r>
              <w:rPr>
                <w:rFonts w:ascii="Arial" w:hAnsi="Arial"/>
                <w:b w:val="0"/>
                <w:color w:val="000000"/>
                <w:sz w:val="20"/>
              </w:rPr>
              <w:t>1046</w:t>
            </w:r>
          </w:p>
        </w:tc>
        <w:tc>
          <w:tcPr>
            <w:tcW w:type="dxa" w:w="2448"/>
            <w:vAlign w:val="center"/>
          </w:tcPr>
          <w:p>
            <w:pPr>
              <w:spacing w:after="0"/>
              <w:jc w:val="both"/>
            </w:pPr>
            <w:r>
              <w:rPr>
                <w:rFonts w:ascii="Arial" w:hAnsi="Arial"/>
                <w:color w:val="000000"/>
                <w:sz w:val="20"/>
              </w:rPr>
            </w:r>
            <w:r>
              <w:rPr>
                <w:rFonts w:ascii="Arial" w:hAnsi="Arial"/>
                <w:b w:val="0"/>
                <w:color w:val="000000"/>
                <w:sz w:val="20"/>
              </w:rPr>
              <w:t>2559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1458</w:t>
            </w:r>
          </w:p>
        </w:tc>
        <w:tc>
          <w:tcPr>
            <w:tcW w:type="dxa" w:w="2448"/>
            <w:vAlign w:val="center"/>
          </w:tcPr>
          <w:p>
            <w:pPr>
              <w:spacing w:after="0"/>
              <w:jc w:val="both"/>
            </w:pPr>
            <w:r>
              <w:rPr>
                <w:rFonts w:ascii="Arial" w:hAnsi="Arial"/>
                <w:color w:val="000000"/>
                <w:sz w:val="20"/>
              </w:rPr>
            </w:r>
            <w:r>
              <w:rPr>
                <w:rFonts w:ascii="Arial" w:hAnsi="Arial"/>
                <w:b w:val="0"/>
                <w:color w:val="000000"/>
                <w:sz w:val="20"/>
              </w:rPr>
              <w:t>1271</w:t>
            </w:r>
          </w:p>
        </w:tc>
        <w:tc>
          <w:tcPr>
            <w:tcW w:type="dxa" w:w="2448"/>
            <w:vAlign w:val="center"/>
          </w:tcPr>
          <w:p>
            <w:pPr>
              <w:spacing w:after="0"/>
              <w:jc w:val="both"/>
            </w:pPr>
            <w:r>
              <w:rPr>
                <w:rFonts w:ascii="Arial" w:hAnsi="Arial"/>
                <w:color w:val="000000"/>
                <w:sz w:val="20"/>
              </w:rPr>
            </w:r>
            <w:r>
              <w:rPr>
                <w:rFonts w:ascii="Arial" w:hAnsi="Arial"/>
                <w:b w:val="0"/>
                <w:color w:val="000000"/>
                <w:sz w:val="20"/>
              </w:rPr>
              <w:t>2729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1530</w:t>
            </w:r>
          </w:p>
        </w:tc>
        <w:tc>
          <w:tcPr>
            <w:tcW w:type="dxa" w:w="2448"/>
            <w:vAlign w:val="center"/>
          </w:tcPr>
          <w:p>
            <w:pPr>
              <w:spacing w:after="0"/>
              <w:jc w:val="both"/>
            </w:pPr>
            <w:r>
              <w:rPr>
                <w:rFonts w:ascii="Arial" w:hAnsi="Arial"/>
                <w:color w:val="000000"/>
                <w:sz w:val="20"/>
              </w:rPr>
            </w:r>
            <w:r>
              <w:rPr>
                <w:rFonts w:ascii="Arial" w:hAnsi="Arial"/>
                <w:b w:val="0"/>
                <w:color w:val="000000"/>
                <w:sz w:val="20"/>
              </w:rPr>
              <w:t>1078</w:t>
            </w:r>
          </w:p>
        </w:tc>
        <w:tc>
          <w:tcPr>
            <w:tcW w:type="dxa" w:w="2448"/>
            <w:vAlign w:val="center"/>
          </w:tcPr>
          <w:p>
            <w:pPr>
              <w:spacing w:after="0"/>
              <w:jc w:val="both"/>
            </w:pPr>
            <w:r>
              <w:rPr>
                <w:rFonts w:ascii="Arial" w:hAnsi="Arial"/>
                <w:color w:val="000000"/>
                <w:sz w:val="20"/>
              </w:rPr>
            </w:r>
            <w:r>
              <w:rPr>
                <w:rFonts w:ascii="Arial" w:hAnsi="Arial"/>
                <w:b w:val="0"/>
                <w:color w:val="000000"/>
                <w:sz w:val="20"/>
              </w:rPr>
              <w:t>2608</w:t>
            </w:r>
          </w:p>
        </w:tc>
      </w:tr>
    </w:tbl>
    <w:p>
      <w:pPr>
        <w:spacing w:after="40"/>
        <w:jc w:val="both"/>
      </w:pPr>
    </w:p>
    <w:p>
      <w:pPr>
        <w:jc w:val="both"/>
      </w:pPr>
      <w:r>
        <w:rPr>
          <w:rFonts w:ascii="Arial" w:hAnsi="Arial"/>
          <w:b/>
          <w:color w:val="000000"/>
          <w:sz w:val="20"/>
        </w:rPr>
        <w:t xml:space="preserve">Supplementary Table S3. </w:t>
      </w:r>
      <w:r>
        <w:rPr>
          <w:rFonts w:ascii="Arial" w:hAnsi="Arial"/>
          <w:color w:val="000000"/>
          <w:sz w:val="20"/>
        </w:rP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Item</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Status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Evaluation universe</w:t>
            </w:r>
          </w:p>
        </w:tc>
        <w:tc>
          <w:tcPr>
            <w:tcW w:type="dxa" w:w="4896"/>
            <w:vAlign w:val="center"/>
          </w:tcPr>
          <w:p>
            <w:pPr>
              <w:spacing w:after="0"/>
              <w:jc w:val="both"/>
            </w:pPr>
            <w:r>
              <w:rPr>
                <w:rFonts w:ascii="Arial" w:hAnsi="Arial"/>
                <w:color w:val="000000"/>
                <w:sz w:val="20"/>
              </w:rPr>
            </w:r>
            <w:r>
              <w:rPr>
                <w:rFonts w:ascii="Arial" w:hAnsi="Arial"/>
                <w:b w:val="0"/>
                <w:color w:val="000000"/>
                <w:sz w:val="20"/>
              </w:rPr>
              <w:t>15 declared compounds across GDSC1, GDSC2, CTD²</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Drug-held-out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5 persisted seeds; fold-local top-2,000 features from full raw modality universes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Cross-study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LOOD folds for CTD², GDSC1, and GDSC2</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MoA mapping</w:t>
            </w:r>
          </w:p>
        </w:tc>
        <w:tc>
          <w:tcPr>
            <w:tcW w:type="dxa" w:w="4896"/>
            <w:vAlign w:val="center"/>
          </w:tcPr>
          <w:p>
            <w:pPr>
              <w:spacing w:after="0"/>
              <w:jc w:val="both"/>
            </w:pPr>
            <w:r>
              <w:rPr>
                <w:rFonts w:ascii="Arial" w:hAnsi="Arial"/>
                <w:color w:val="000000"/>
                <w:sz w:val="20"/>
              </w:rPr>
            </w:r>
            <w:r>
              <w:rPr>
                <w:rFonts w:ascii="Arial" w:hAnsi="Arial"/>
                <w:b w:val="0"/>
                <w:color w:val="000000"/>
                <w:sz w:val="20"/>
              </w:rPr>
              <w:t>15/15 declared compounds; 5/316 full GDSC1 universe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Raw data</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files not redistributed; checksums recorded</w:t>
            </w:r>
          </w:p>
        </w:tc>
      </w:tr>
    </w:tbl>
    <w:p>
      <w:pPr>
        <w:spacing w:after="40"/>
        <w:jc w:val="both"/>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