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360"/>
        <w:jc w:val="both"/>
        <w:rPr/>
      </w:pPr>
      <w:r>
        <w:rPr>
          <w:rFonts w:ascii="Arial" w:hAnsi="Arial"/>
          <w:b/>
          <w:color w:val="000000"/>
          <w:sz w:val="28"/>
        </w:rPr>
        <w:t>Cover Letter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Dear Editors,</w:t>
      </w:r>
    </w:p>
    <w:p>
      <w:pPr>
        <w:pStyle w:val="Normal"/>
        <w:jc w:val="both"/>
        <w:rPr/>
      </w:pPr>
      <w:r>
        <w:t>I submit “When More Omics Is Not Always Better: Drug- and Dataset-Conditional Value of Multimodal Cancer Pharmacogenomics” as a Research Article. The study evaluates multimodal information fusion for cancer drug-response prediction using a declared 15-compound universe spanning GDSC1, GDSC2, and CTD².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The manuscript fits Journal of Pharmaceutical and BioTech Industry (JPBI) because it studies feature-level fusion in an imperfect and incomplete biomedical environment, with explicit attention to missingness, redundancy, algorithmic comparison, and cross-source transfer. The central finding is that fusion is conditional: it produced a small mean improvement across five full-universe drug-held-out splits, favored fusion in three splits and expression in two, and was slightly worse in all three leave-one-dataset-out folds.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State of the art: the study is positioned against CCLE/GDSC pharmacogenomic resources, multimodal drug-response methods including MOLI, and machine-learning benchmarks of multi-omics integration [Barretina et al., 2012; Iorio et al., 2016; Tsherniak et al., 2017; Azuaje, 2017; Sharifi-Noghabi et al., 2019; Cai et al., 2022]. The contribution is evaluation design and evidence-bounded comparison, not a claim of a new deep-learning architecture.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Public datasets: we used DepMap response and molecular releases for GDSC1, GDSC2, and CTD², with release identifiers and checksums recorded in the repository. Raw files are not redistributed.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Declarations: the study received no external funding; the author declares no competing interests; ethics approval is not applicable because the study uses publicly available de-identified cell-line and molecular data with no human participants, patient intervention, or animal experimentation. DepMap data are acknowledged and cited according to the provider’s guidance.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Validation: we report RMSE and MAE, drug-grouped held-out splits across five seeds, fold-local feature selection, leave-one-dataset-out validation, structured missingness strata, and modality redundancy summaries.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Main claim and significance: adding modalities should be judged by incremental value and transferability rather than dimensionality alone. The finding that fusion fails under cross-study transfer is relevant to information-fusion systems operating across heterogeneous sources.</w:t>
      </w:r>
    </w:p>
    <w:p>
      <w:pPr>
        <w:pStyle w:val="Normal"/>
        <w:jc w:val="both"/>
        <w:rPr/>
      </w:pPr>
      <w:r>
        <w:t>All formal splits, feature-selection rules, derived result tables, figures, tests, and an identical reproducibility rerun are versioned in the repository. The manuscript limits claims to the declared 15-compound universe and identifies the lack of broad same-drug cross-study replication as a limitation. The immutable reproducibility archive is available at https://doi.org/10.5281/zenodo.23054361.</w:t>
      </w:r>
    </w:p>
    <w:p>
      <w:pPr>
        <w:pStyle w:val="Normal"/>
        <w:jc w:val="both"/>
        <w:rPr/>
      </w:pPr>
      <w:r>
        <w:t>This manuscript has not been published previously and is not under consideration elsewhere. I am submitting a non-anonymized manuscript and do not request reviewer blinding.</w:t>
      </w:r>
    </w:p>
    <w:p>
      <w:pPr>
        <w:pStyle w:val="Normal"/>
        <w:spacing w:before="0" w:after="160"/>
        <w:jc w:val="both"/>
        <w:rPr/>
      </w:pPr>
      <w:r>
        <w:rPr>
          <w:rFonts w:ascii="Arial" w:hAnsi="Arial"/>
          <w:color w:val="000000"/>
        </w:rPr>
        <w:t>Sincerely,</w:t>
        <w:br/>
        <w:br/>
        <w:t>Carlos Victor Montefusco-Pereira</w:t>
      </w:r>
    </w:p>
    <w:p>
      <w:pPr/>
      <w:r>
        <w:t>Carlos Victor Montefusco-Pereira</w:t>
        <w:br/>
        <w:t>Affiliation 1: Independent Researcher in Data Science and AI for Pharmaceutical Industry</w:t>
        <w:br/>
        <w:t>Affiliation 2: Member of Brazil-Africa Group for Scientific Research and Writing (GPEC), Portuguese-Speaking African Countries (PALOPs)</w:t>
        <w:br/>
        <w:t>Corresponding information: Friedrich-Wilhelm 28, 12103 Berlin, Germany; cmontefusco@gmail.com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9" w:before="0" w:after="160"/>
      <w:jc w:val="start"/>
    </w:pPr>
    <w:rPr>
      <w:rFonts w:ascii="Arial" w:hAnsi="Arial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6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6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6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6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6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6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6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6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6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6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LibreOffice/26.2.1.2$MacOSX_AARCH64 LibreOffice_project/8399f6259d8c87f40e7255cdb3c9b958f5e08948</Application>
  <AppVersion>15.0000</AppVersion>
  <Pages>1</Pages>
  <Words>386</Words>
  <Characters>2503</Characters>
  <CharactersWithSpaces>2874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2026-08-31T19:32:41Z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