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20"/>
        </w:rPr>
        <w:t>When More Omics Is Not Always Better: Drug- and Dataset-Conditional Value of Multimodal Cancer Pharmacogenomics</w:t>
      </w:r>
    </w:p>
    <w:p>
      <w:pPr>
        <w:jc w:val="center"/>
      </w:pPr>
      <w:r>
        <w:rPr>
          <w:rFonts w:ascii="Arial" w:hAnsi="Arial"/>
          <w:b/>
          <w:color w:val="000000"/>
          <w:sz w:val="20"/>
        </w:rPr>
        <w:t>Carlos Victor Montefusco-Pereira</w:t>
        <w:br/>
      </w:r>
      <w:r>
        <w:rPr>
          <w:rFonts w:ascii="Arial" w:hAnsi="Arial"/>
          <w:color w:val="000000"/>
          <w:sz w:val="20"/>
        </w:rPr>
        <w:t>Affiliation 1: Independent Researcher in Data Science and AI for Pharmaceutical Industry</w:t>
        <w:br/>
        <w:t>Affiliation 2: Member of Brazil-Africa Group for Scientific Research and Writing (GPEC), Portuguese-Speaking African Countries (PALOPs)</w:t>
        <w:br/>
        <w:t>Corresponding information: Friedrich-Wilhelm 28, 12103 Berlin, Germany; cmontefusco@gmail.com</w:t>
      </w:r>
    </w:p>
    <w:p>
      <w:pPr>
        <w:jc w:val="both"/>
      </w:pPr>
    </w:p>
    <w:p>
      <w:pPr>
        <w:jc w:val="both"/>
      </w:pPr>
      <w:r>
        <w:rPr>
          <w:rFonts w:ascii="Arial" w:hAnsi="Arial"/>
          <w:b/>
          <w:color w:val="000000"/>
          <w:sz w:val="20"/>
        </w:rPr>
        <w:t xml:space="preserve">Article type: </w:t>
      </w:r>
      <w:r>
        <w:rPr>
          <w:rFonts w:ascii="Arial" w:hAnsi="Arial"/>
          <w:color w:val="000000"/>
          <w:sz w:val="20"/>
        </w:rPr>
        <w:t>Research article</w:t>
      </w:r>
    </w:p>
    <w:p>
      <w:pPr>
        <w:jc w:val="both"/>
      </w:pPr>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r>
        <w:rPr>
          <w:rFonts w:ascii="Arial" w:hAnsi="Arial"/>
          <w:color w:val="000000"/>
          <w:sz w:val="20"/>
        </w:rPr>
        <w:t>Does adding more molecular data really improve cancer drug-response prediction? I tested this question using expression, copy-number, and damaging-mutation data from GDSC1, GDSC2, and CTD² across 15 compounds. I compared an expression-only Ridge model with a model that combined all three modalities. Feature selection, missing-value handling, and scaling were performed separately inside each training fold. In five grouped drug-held-out splits, the combined model had a mean RMSE of 0.2322 versus 0.2328 for expression alone, a difference of −0.0006. Fusion performed better in four splits and worse in one. However, fusion was less favorable in all three leave-one-dataset-out tests. Modality availability also differed across datasets, with copy-number data less consistently available than expression or mutation data. The practical conclusion is simple: additional assays should not be added automatically. They are worth retaining when their benefit is reproducible in the intended population, the data are available, and the gain remains after external validation. This study does not support arbitrary new-drug prediction, clinical treatment selection, or causal biological claims.</w:t>
      </w:r>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jc w:val="both"/>
      </w:pPr>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jc w:val="both"/>
      </w:pPr>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jc w:val="both"/>
      </w:pPr>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jc w:val="both"/>
      </w:pPr>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jc w:val="both"/>
      </w:pPr>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jc w:val="both"/>
      </w:pPr>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jc w:val="both"/>
      </w:pPr>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jc w:val="both"/>
      </w:pPr>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jc w:val="both"/>
      </w:pPr>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jc w:val="center"/>
      </w:pPr>
      <w:r>
        <w:rPr>
          <w:rFonts w:ascii="Arial" w:hAnsi="Arial"/>
          <w:color w:val="000000"/>
          <w:sz w:val="20"/>
        </w:rPr>
        <w:drawing>
          <wp:inline xmlns:a="http://schemas.openxmlformats.org/drawingml/2006/main" xmlns:pic="http://schemas.openxmlformats.org/drawingml/2006/picture">
            <wp:extent cx="5303520" cy="3025376"/>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025376"/>
                    </a:xfrm>
                    <a:prstGeom prst="rect"/>
                  </pic:spPr>
                </pic:pic>
              </a:graphicData>
            </a:graphic>
          </wp:inline>
        </w:drawing>
      </w:r>
    </w:p>
    <w:p>
      <w:pPr>
        <w:keepNext/>
        <w:jc w:val="center"/>
      </w:pPr>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p>
    <w:p>
      <w:pPr>
        <w:spacing w:after="120" w:line="259" w:lineRule="auto"/>
        <w:jc w:val="both"/>
      </w:pPr>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jc w:val="both"/>
      </w:pPr>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jc w:val="both"/>
      </w:pPr>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jc w:val="both"/>
      </w:pPr>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jc w:val="both"/>
      </w:pPr>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jc w:val="both"/>
      </w:pPr>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jc w:val="both"/>
      </w:pPr>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jc w:val="both"/>
      </w:pPr>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jc w:val="both"/>
      </w:pPr>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jc w:val="both"/>
      </w:pPr>
      <w:r>
        <w:rPr>
          <w:rFonts w:ascii="Arial" w:hAnsi="Arial"/>
          <w:color w:val="000000"/>
          <w:sz w:val="20"/>
        </w:rPr>
        <w:t>2.5. Model specification and baselines</w:t>
      </w:r>
    </w:p>
    <w:p>
      <w:pPr>
        <w:spacing w:after="120" w:line="259" w:lineRule="auto"/>
        <w:jc w:val="both"/>
      </w:pPr>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jc w:val="both"/>
      </w:pPr>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jc w:val="both"/>
      </w:pPr>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jc w:val="both"/>
      </w:pPr>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jc w:val="both"/>
      </w:pPr>
      <w:r>
        <w:rPr>
          <w:rFonts w:ascii="Arial" w:hAnsi="Arial"/>
          <w:color w:val="000000"/>
          <w:sz w:val="20"/>
        </w:rPr>
        <w:t>2.6. Split manifests and reproducibility</w:t>
      </w:r>
    </w:p>
    <w:p>
      <w:pPr>
        <w:spacing w:after="120" w:line="259" w:lineRule="auto"/>
        <w:jc w:val="both"/>
      </w:pPr>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jc w:val="both"/>
      </w:pPr>
      <w:r>
        <w:rPr>
          <w:rFonts w:ascii="Arial" w:hAnsi="Arial"/>
          <w:color w:val="000000"/>
          <w:sz w:val="20"/>
        </w:rPr>
        <w:t>2.7. Analysis sequence and implementation controls</w:t>
      </w:r>
    </w:p>
    <w:p>
      <w:pPr>
        <w:spacing w:after="120" w:line="259" w:lineRule="auto"/>
        <w:jc w:val="both"/>
      </w:pPr>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jc w:val="both"/>
      </w:pPr>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jc w:val="both"/>
      </w:pPr>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r>
        <w:rPr>
          <w:rFonts w:ascii="Arial" w:hAnsi="Arial"/>
          <w:color w:val="000000"/>
          <w:sz w:val="20"/>
        </w:rPr>
        <w:t>3.1. Dataset characteristics and response scales</w:t>
      </w:r>
    </w:p>
    <w:p>
      <w:pPr>
        <w:spacing w:after="120" w:line="259" w:lineRule="auto"/>
        <w:jc w:val="both"/>
      </w:pPr>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jc w:val="both"/>
      </w:pPr>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p>
    <w:p>
      <w:pPr>
        <w:spacing w:after="120" w:line="259" w:lineRule="auto"/>
        <w:jc w:val="both"/>
      </w:pPr>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pPr>
        <w:jc w:val="both"/>
      </w:pPr>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r>
        <w:rPr>
          <w:rFonts w:ascii="Arial" w:hAnsi="Arial"/>
          <w:color w:val="000000"/>
          <w:sz w:val="20"/>
        </w:rPr>
        <w:t>Figure 2. High-level leave-one-dataset-out comparison. This figure summarizes the cross-study transfer stress test; it is not a cross-dataset ranking of RMSE difficulty.</w:t>
      </w:r>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r>
        <w:rPr>
          <w:rFonts w:ascii="Arial" w:hAnsi="Arial"/>
          <w:color w:val="000000"/>
          <w:sz w:val="20"/>
        </w:rPr>
        <w:t>Figure 3. Fusion-minus-expression contrast and modality conflict. Negative fusion deltas favor fusion within the corresponding fold; values are not comparable across response scales.</w:t>
      </w:r>
    </w:p>
    <w:p>
      <w:pPr>
        <w:spacing w:after="120" w:line="259" w:lineRule="auto"/>
        <w:jc w:val="both"/>
      </w:pPr>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jc w:val="both"/>
      </w:pPr>
      <w:r>
        <w:rPr>
          <w:rFonts w:ascii="Arial" w:hAnsi="Arial"/>
          <w:color w:val="000000"/>
          <w:sz w:val="20"/>
        </w:rPr>
        <w:t>3.4. Missingness and redundancy</w:t>
      </w:r>
    </w:p>
    <w:p>
      <w:pPr>
        <w:spacing w:after="120" w:line="259" w:lineRule="auto"/>
        <w:jc w:val="both"/>
      </w:pPr>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r>
        <w:rPr>
          <w:rFonts w:ascii="Arial" w:hAnsi="Arial"/>
          <w:color w:val="000000"/>
          <w:sz w:val="20"/>
        </w:rPr>
        <w:t>Figure 4. Outer-join modality availability. This supports the missingness analysis and is not a performance metric.</w:t>
      </w:r>
    </w:p>
    <w:p>
      <w:pPr>
        <w:spacing w:after="120" w:line="259" w:lineRule="auto"/>
        <w:jc w:val="both"/>
      </w:pPr>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jc w:val="both"/>
      </w:pPr>
      <w:r>
        <w:rPr>
          <w:rFonts w:ascii="Arial" w:hAnsi="Arial"/>
          <w:color w:val="000000"/>
          <w:sz w:val="20"/>
        </w:rPr>
        <w:t>3.5. Interpretation against the research questions</w:t>
      </w:r>
    </w:p>
    <w:p>
      <w:pPr>
        <w:spacing w:after="120" w:line="259" w:lineRule="auto"/>
        <w:jc w:val="both"/>
      </w:pPr>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jc w:val="both"/>
      </w:pPr>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pPr>
        <w:jc w:val="both"/>
      </w:pPr>
      <w:r>
        <w:rPr>
          <w:rFonts w:ascii="Arial" w:hAnsi="Arial"/>
          <w:b/>
          <w:color w:val="000000"/>
          <w:sz w:val="20"/>
        </w:rPr>
        <w:t xml:space="preserve">Table 2. </w:t>
      </w:r>
      <w:r>
        <w:rPr>
          <w:rFonts w:ascii="Arial" w:hAnsi="Arial"/>
          <w:color w:val="000000"/>
          <w:sz w:val="20"/>
        </w:rP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p>
      <w:pPr>
        <w:spacing w:after="40"/>
        <w:jc w:val="both"/>
      </w:pPr>
    </w:p>
    <w:p>
      <w:pPr>
        <w:pStyle w:val="Heading1"/>
        <w:keepNext/>
        <w:jc w:val="both"/>
      </w:pPr>
      <w:r>
        <w:rPr>
          <w:rFonts w:ascii="Arial" w:hAnsi="Arial"/>
          <w:color w:val="000000"/>
          <w:sz w:val="20"/>
        </w:rPr>
        <w:t>4. Discussion</w:t>
      </w:r>
    </w:p>
    <w:p>
      <w:pPr>
        <w:spacing w:after="120" w:line="259" w:lineRule="auto"/>
        <w:jc w:val="both"/>
      </w:pPr>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jc w:val="both"/>
      </w:pPr>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jc w:val="both"/>
      </w:pPr>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jc w:val="both"/>
      </w:pPr>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jc w:val="both"/>
      </w:pPr>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jc w:val="both"/>
      </w:pPr>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four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jc w:val="both"/>
      </w:pPr>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jc w:val="both"/>
      </w:pPr>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jc w:val="both"/>
      </w:pPr>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jc w:val="both"/>
      </w:pPr>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jc w:val="both"/>
      </w:pPr>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jc w:val="both"/>
      </w:pPr>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jc w:val="both"/>
      </w:pPr>
      <w:r>
        <w:rPr>
          <w:rFonts w:ascii="Arial" w:hAnsi="Arial"/>
          <w:color w:val="000000"/>
          <w:sz w:val="20"/>
        </w:rPr>
        <w:t>5. Conclusion</w:t>
      </w:r>
    </w:p>
    <w:p>
      <w:pPr>
        <w:spacing w:after="120" w:line="259" w:lineRule="auto"/>
        <w:jc w:val="both"/>
      </w:pPr>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jc w:val="both"/>
      </w:pPr>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jc w:val="both"/>
      </w:pPr>
      <w:r>
        <w:rPr>
          <w:rFonts w:ascii="Arial" w:hAnsi="Arial"/>
          <w:color w:val="000000"/>
          <w:sz w:val="20"/>
        </w:rPr>
        <w:t>6. Data and code availability</w:t>
      </w:r>
    </w:p>
    <w:p>
      <w:pPr>
        <w:spacing w:after="120" w:line="259" w:lineRule="auto"/>
        <w:jc w:val="both"/>
      </w:pPr>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jc w:val="both"/>
      </w:pPr>
      <w:r>
        <w:rPr>
          <w:rFonts w:ascii="Arial" w:hAnsi="Arial"/>
          <w:color w:val="000000"/>
          <w:sz w:val="20"/>
        </w:rPr>
        <w:t>7. References</w:t>
      </w:r>
    </w:p>
    <w:p>
      <w:pPr>
        <w:jc w:val="both"/>
      </w:pPr>
      <w:r>
        <w:rPr>
          <w:rFonts w:ascii="Arial" w:hAnsi="Arial"/>
          <w:color w:val="000000"/>
          <w:sz w:val="20"/>
        </w:rPr>
        <w:t>[1] Barretina J, et al. The Cancer Cell Line Encyclopedia enables predictive modelling of anticancer drug sensitivity. Nature. 2012;483:603-607. doi:10.1038/nature11003.</w:t>
      </w:r>
    </w:p>
    <w:p>
      <w:pPr>
        <w:jc w:val="both"/>
      </w:pPr>
      <w:r>
        <w:rPr>
          <w:rFonts w:ascii="Arial" w:hAnsi="Arial"/>
          <w:color w:val="000000"/>
          <w:sz w:val="20"/>
        </w:rPr>
        <w:t>[2] Iorio F, et al. A landscape of pharmacogenomic interactions in cancer. Cell. 2016;166:740-754. doi:10.1016/j.cell.2016.06.017.</w:t>
      </w:r>
    </w:p>
    <w:p>
      <w:pPr>
        <w:jc w:val="both"/>
      </w:pPr>
      <w:r>
        <w:rPr>
          <w:rFonts w:ascii="Arial" w:hAnsi="Arial"/>
          <w:color w:val="000000"/>
          <w:sz w:val="20"/>
        </w:rPr>
        <w:t>[3] Tsherniak A, et al. Defining a cancer dependency map. Cell. 2017;170:564-576.e16. doi:10.1016/j.cell.2017.06.010.</w:t>
      </w:r>
    </w:p>
    <w:p>
      <w:pPr>
        <w:jc w:val="both"/>
      </w:pPr>
      <w:r>
        <w:rPr>
          <w:rFonts w:ascii="Arial" w:hAnsi="Arial"/>
          <w:color w:val="000000"/>
          <w:sz w:val="20"/>
        </w:rPr>
        <w:t>[4] Azuaje F. Computational models for predicting drug responses in cancer research. Brief Bioinform. 2017;18:820-829. doi:10.1093/bib/bbw065.</w:t>
      </w:r>
    </w:p>
    <w:p>
      <w:pPr>
        <w:jc w:val="both"/>
      </w:pPr>
      <w:r>
        <w:rPr>
          <w:rFonts w:ascii="Arial" w:hAnsi="Arial"/>
          <w:color w:val="000000"/>
          <w:sz w:val="20"/>
        </w:rPr>
        <w:t>[5] Sharifi-Noghabi H, et al. MOLI: multi-omics late integration with deep neural networks for drug response prediction. Bioinformatics. 2019;35:i501-i509. doi:10.1093/bioinformatics/btz318.</w:t>
      </w:r>
    </w:p>
    <w:p>
      <w:pPr>
        <w:jc w:val="both"/>
      </w:pPr>
      <w:r>
        <w:rPr>
          <w:rFonts w:ascii="Arial" w:hAnsi="Arial"/>
          <w:color w:val="000000"/>
          <w:sz w:val="20"/>
        </w:rPr>
        <w:t>[6] Cai Z, et al. Machine learning for multi-omics data integration in cancer. iScience. 2022;25:103798. doi:10.1016/j.isci.2022.103798.</w:t>
      </w:r>
    </w:p>
    <w:p>
      <w:pPr>
        <w:jc w:val="both"/>
      </w:pPr>
      <w:r>
        <w:rPr>
          <w:rFonts w:ascii="Arial" w:hAnsi="Arial"/>
          <w:color w:val="000000"/>
          <w:sz w:val="20"/>
        </w:rPr>
        <w:t>[7] DepMap. How should I cite DepMap data? DepMap Portal. Updated 2025.</w:t>
      </w:r>
    </w:p>
    <w:p>
      <w:pPr>
        <w:jc w:val="both"/>
      </w:pPr>
      <w:r>
        <w:rPr>
          <w:rFonts w:ascii="Arial" w:hAnsi="Arial"/>
          <w:color w:val="000000"/>
          <w:sz w:val="20"/>
        </w:rPr>
        <w:t>[8] Kuenzi BM, et al. Predicting drug response and synergy using a deep learning model of human cancer cells. Cancer Cell. 2020;38:672-684.e6. doi:10.1016/j.ccell.2020.09.014.</w:t>
      </w:r>
    </w:p>
    <w:p>
      <w:pPr>
        <w:jc w:val="both"/>
      </w:pPr>
      <w:r>
        <w:rPr>
          <w:rFonts w:ascii="Arial" w:hAnsi="Arial"/>
          <w:color w:val="000000"/>
          <w:sz w:val="20"/>
        </w:rPr>
        <w:t>[9] Chawla S, Rockstroh A, Lehman M, et al. Gene expression based inference of cancer drug sensitivity. Nat Commun. 2022;13:5680. doi:10.1038/s41467-022-33291-z.</w:t>
      </w:r>
    </w:p>
    <w:p>
      <w:pPr>
        <w:jc w:val="both"/>
      </w:pPr>
      <w:r>
        <w:rPr>
          <w:rFonts w:ascii="Arial" w:hAnsi="Arial"/>
          <w:color w:val="000000"/>
          <w:sz w:val="20"/>
        </w:rPr>
        <w:t>[10] Baptista D, Ferreira PG, Rocha M. Deep learning for drug response prediction in cancer. Brief Bioinform. 2023;24:bbac605. doi:10.1093/bib/bbac605.</w:t>
      </w:r>
    </w:p>
    <w:p>
      <w:pPr>
        <w:jc w:val="both"/>
      </w:pPr>
      <w:r>
        <w:rPr>
          <w:rFonts w:ascii="Arial" w:hAnsi="Arial"/>
          <w:color w:val="000000"/>
          <w:sz w:val="20"/>
        </w:rPr>
        <w:t>[11] Gouru G. Precision oncology: Computational methods for multi-omics data integration to improve drug response prediction. Cambridge Prisms Precis Med. 2025;3:e6. doi:10.1017/pcm.2025.10003.</w:t>
      </w:r>
    </w:p>
    <w:p>
      <w:pPr>
        <w:jc w:val="both"/>
      </w:pPr>
      <w:r>
        <w:rPr>
          <w:rFonts w:ascii="Arial" w:hAnsi="Arial"/>
          <w:color w:val="000000"/>
          <w:sz w:val="20"/>
        </w:rPr>
        <w:t>[12] Li D, et al. Multi-omics modality completion and knowledge distillation for drug response prediction in cervical cancer. Front Oncol. 2025;15:1622600. doi:10.3389/fonc.2025.1622600.</w:t>
      </w:r>
    </w:p>
    <w:p>
      <w:pPr>
        <w:jc w:val="both"/>
      </w:pPr>
      <w:r>
        <w:rPr>
          <w:rFonts w:ascii="Arial" w:hAnsi="Arial"/>
          <w:color w:val="000000"/>
          <w:sz w:val="20"/>
        </w:rPr>
        <w:t>[13] Del Real KS, et al. Foundation models and deep learning for cancer drug response prediction: a framework for data, metrics, and validation. Brief Bioinform. 2026;27:bbag225. doi:10.1093/bib/bbag225.</w:t>
      </w:r>
    </w:p>
    <w:p>
      <w:pPr>
        <w:jc w:val="both"/>
      </w:pPr>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p>
    <w:p>
      <w:pPr>
        <w:jc w:val="both"/>
      </w:pPr>
      <w:r>
        <w:rPr>
          <w:rFonts w:ascii="Arial" w:hAnsi="Arial"/>
          <w:color w:val="000000"/>
          <w:sz w:val="20"/>
        </w:rPr>
        <w:t>[15] Bernett J, et al. Critical evaluation of drug response prediction models with DrEval. Nat Commun. 2026;17:4238. doi:10.1038/s41467-026-72903-w.</w:t>
      </w:r>
    </w:p>
    <w:p>
      <w:pPr>
        <w:jc w:val="both"/>
      </w:pPr>
      <w:r>
        <w:rPr>
          <w:rFonts w:ascii="Arial" w:hAnsi="Arial"/>
          <w:color w:val="000000"/>
          <w:sz w:val="20"/>
        </w:rPr>
        <w:t>[16] Carli F, et al. CellHit: a web server to predict and analyze cancer patients’ drug responsiveness. Nucleic Acids Res. 2025;53(W1):W143-W150. doi:10.1093/nar/gkaf414.</w:t>
      </w:r>
    </w:p>
    <w:p>
      <w:pPr>
        <w:jc w:val="both"/>
      </w:pPr>
      <w:r>
        <w:rPr>
          <w:rFonts w:ascii="Arial" w:hAnsi="Arial"/>
          <w:color w:val="000000"/>
          <w:sz w:val="20"/>
        </w:rPr>
        <w:t>[17] Wang Q, et al. scDrugMap: benchmarking large foundation models for drug response prediction. Nat Commun. 2026;17:730. doi:10.1038/s41467-025-67481-2.</w:t>
      </w:r>
    </w:p>
    <w:p>
      <w:pPr>
        <w:jc w:val="both"/>
      </w:pPr>
      <w:r>
        <w:rPr>
          <w:rFonts w:ascii="Arial" w:hAnsi="Arial"/>
          <w:color w:val="000000"/>
          <w:sz w:val="20"/>
        </w:rPr>
        <w:t>[18] Automated real-world data integration improves cancer outcome prediction. Nature. 2024;629:123-131. doi:10.1038/s41586-024-08167-5.</w:t>
      </w:r>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4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p>
      <w:pPr>
        <w:spacing w:after="40"/>
        <w:jc w:val="both"/>
      </w:pPr>
    </w:p>
    <w:p>
      <w:pPr>
        <w:jc w:val="both"/>
      </w:pPr>
      <w:r>
        <w:rPr>
          <w:rFonts w:ascii="Arial" w:hAnsi="Arial"/>
          <w:color w:val="000000"/>
          <w:sz w:val="20"/>
        </w:rPr>
        <w:br w:type="page"/>
      </w:r>
    </w:p>
    <w:p>
      <w:pPr>
        <w:pStyle w:val="Heading1"/>
        <w:keepNext/>
        <w:jc w:val="both"/>
      </w:pPr>
      <w:r>
        <w:rPr>
          <w:rFonts w:ascii="Arial" w:hAnsi="Arial"/>
          <w:color w:val="000000"/>
          <w:sz w:val="20"/>
        </w:rPr>
        <w:t>Supplementary material</w:t>
      </w:r>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p>
      <w:pPr>
        <w:spacing w:after="40"/>
        <w:jc w:val="both"/>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