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Artificial Intelligence in Industrial Pharmaceutics</w:t>
        <w:br/>
        <w:t>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CTD2.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Fusion minus expression RMSE across held-out folds.</w:t>
      </w:r>
    </w:p>
    <w:p>
      <w:pPr>
        <w:jc w:val="center"/>
      </w:pPr>
      <w:r>
        <w:drawing>
          <wp:inline xmlns:a="http://schemas.openxmlformats.org/drawingml/2006/main" xmlns:pic="http://schemas.openxmlformats.org/drawingml/2006/picture">
            <wp:extent cx="5943600" cy="1920240"/>
            <wp:docPr id="3" name="Picture 3"/>
            <wp:cNvGraphicFramePr>
              <a:graphicFrameLocks noChangeAspect="1"/>
            </wp:cNvGraphicFramePr>
            <a:graphic>
              <a:graphicData uri="http://schemas.openxmlformats.org/drawingml/2006/picture">
                <pic:pic>
                  <pic:nvPicPr>
                    <pic:cNvPr id="0" name="composite_validation.png"/>
                    <pic:cNvPicPr/>
                  </pic:nvPicPr>
                  <pic:blipFill>
                    <a:blip r:embed="rId11"/>
                    <a:stretch>
                      <a:fillRect/>
                    </a:stretch>
                  </pic:blipFill>
                  <pic:spPr>
                    <a:xfrm>
                      <a:off x="0" y="0"/>
                      <a:ext cx="5943600" cy="1920240"/>
                    </a:xfrm>
                    <a:prstGeom prst="rect"/>
                  </pic:spPr>
                </pic:pic>
              </a:graphicData>
            </a:graphic>
          </wp:inline>
        </w:drawing>
      </w:r>
    </w:p>
    <w:p>
      <w:pPr>
        <w:jc w:val="center"/>
      </w:pPr>
      <w:r>
        <w:t>Figure 3. Composite summary of transfer performance, signed fusion deltas, and structured modality availability.</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declared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drug chemical structure, and lineage-aware representations. We report RMSE and MAE but do not provide a complete ranking-oriented evaluation using Pearson or Spearman correlation, and we do not test chemical-scaffold separation between training and held-out drugs. Source-specific AUC scales were retained rather than harmonized, so LOOD error magnitudes should not be read as directly comparable biological difficulty across datasets. No patient, organoid, PDX, or prospective external cohort was evaluated.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Heading1"/>
        <w:keepNext/>
      </w:pPr>
      <w:r>
        <w:t>6.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S2.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CTD2,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