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r>
        <w:rPr>
          <w:b/>
        </w:rPr>
        <w:t xml:space="preserve">Figure 1. </w:t>
      </w:r>
      <w:r>
        <w:t>Decision framework for applying the benchmark in pharmaceutical data science. The main branch emphasizes the intended use case, availability of drug-specific inputs, missingness, validation estimand, and reporting of uncertainty. The decision tree summarizes the central practical result; the detailed decision audit is provided in the Supplementary Material.</w:t>
      </w:r>
    </w:p>
    <w:p>
      <w:pPr>
        <w:ind w:left="0" w:right="0"/>
        <w:jc w:val="center"/>
      </w:pPr>
      <w:r>
        <w:drawing>
          <wp:inline xmlns:a="http://schemas.openxmlformats.org/drawingml/2006/main" xmlns:pic="http://schemas.openxmlformats.org/drawingml/2006/picture">
            <wp:extent cx="5852160" cy="3719977"/>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852160" cy="3719977"/>
                    </a:xfrm>
                    <a:prstGeom prst="rect"/>
                  </pic:spPr>
                </pic:pic>
              </a:graphicData>
            </a:graphic>
          </wp:inline>
        </w:drawing>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r>
        <w:rPr>
          <w:b/>
        </w:rPr>
        <w:t xml:space="preserve">Table 1. </w:t>
      </w:r>
      <w: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pPr>
            <w:r/>
            <w:r>
              <w:rPr>
                <w:b/>
                <w:sz w:val="16"/>
              </w:rPr>
              <w:t>Dataset</w:t>
            </w:r>
          </w:p>
        </w:tc>
        <w:tc>
          <w:tcPr>
            <w:tcW w:type="dxa" w:w="1399"/>
            <w:vAlign w:val="center"/>
            <w:shd w:fill="D9EAF7"/>
          </w:tcPr>
          <w:p>
            <w:pPr>
              <w:spacing w:after="0"/>
            </w:pPr>
            <w:r/>
            <w:r>
              <w:rPr>
                <w:b/>
                <w:sz w:val="16"/>
              </w:rPr>
              <w:t>Compounds</w:t>
            </w:r>
          </w:p>
        </w:tc>
        <w:tc>
          <w:tcPr>
            <w:tcW w:type="dxa" w:w="1399"/>
            <w:vAlign w:val="center"/>
            <w:shd w:fill="D9EAF7"/>
          </w:tcPr>
          <w:p>
            <w:pPr>
              <w:spacing w:after="0"/>
            </w:pPr>
            <w:r/>
            <w:r>
              <w:rPr>
                <w:b/>
                <w:sz w:val="16"/>
              </w:rPr>
              <w:t>Response rows</w:t>
            </w:r>
          </w:p>
        </w:tc>
        <w:tc>
          <w:tcPr>
            <w:tcW w:type="dxa" w:w="1399"/>
            <w:vAlign w:val="center"/>
            <w:shd w:fill="D9EAF7"/>
          </w:tcPr>
          <w:p>
            <w:pPr>
              <w:spacing w:after="0"/>
            </w:pPr>
            <w:r/>
            <w:r>
              <w:rPr>
                <w:b/>
                <w:sz w:val="16"/>
              </w:rPr>
              <w:t>Cell lines</w:t>
            </w:r>
          </w:p>
        </w:tc>
        <w:tc>
          <w:tcPr>
            <w:tcW w:type="dxa" w:w="1399"/>
            <w:vAlign w:val="center"/>
            <w:shd w:fill="D9EAF7"/>
          </w:tcPr>
          <w:p>
            <w:pPr>
              <w:spacing w:after="0"/>
            </w:pPr>
            <w:r/>
            <w:r>
              <w:rPr>
                <w:b/>
                <w:sz w:val="16"/>
              </w:rPr>
              <w:t>AUC distribution</w:t>
            </w:r>
          </w:p>
        </w:tc>
        <w:tc>
          <w:tcPr>
            <w:tcW w:type="dxa" w:w="1399"/>
            <w:vAlign w:val="center"/>
            <w:shd w:fill="D9EAF7"/>
          </w:tcPr>
          <w:p>
            <w:pPr>
              <w:spacing w:after="0"/>
            </w:pPr>
            <w:r/>
            <w:r>
              <w:rPr>
                <w:b/>
                <w:sz w:val="16"/>
              </w:rPr>
              <w:t>Raw features</w:t>
            </w:r>
          </w:p>
        </w:tc>
        <w:tc>
          <w:tcPr>
            <w:tcW w:type="dxa" w:w="1399"/>
            <w:vAlign w:val="center"/>
            <w:shd w:fill="D9EAF7"/>
          </w:tcPr>
          <w:p>
            <w:pPr>
              <w:spacing w:after="0"/>
            </w:pPr>
            <w:r/>
            <w:r>
              <w:rPr>
                <w:b/>
                <w:sz w:val="16"/>
              </w:rPr>
              <w:t>Modality coverage</w:t>
            </w:r>
          </w:p>
        </w:tc>
      </w:tr>
      <w:tr>
        <w:tc>
          <w:tcPr>
            <w:tcW w:type="dxa" w:w="1399"/>
            <w:vAlign w:val="center"/>
          </w:tcPr>
          <w:p>
            <w:pPr>
              <w:spacing w:after="0"/>
            </w:pPr>
            <w:r/>
            <w:r>
              <w:rPr>
                <w:b w:val="0"/>
                <w:sz w:val="16"/>
              </w:rPr>
              <w:t>GDSC1</w:t>
            </w:r>
          </w:p>
        </w:tc>
        <w:tc>
          <w:tcPr>
            <w:tcW w:type="dxa" w:w="1399"/>
            <w:vAlign w:val="center"/>
          </w:tcPr>
          <w:p>
            <w:pPr>
              <w:spacing w:after="0"/>
            </w:pPr>
            <w:r/>
            <w:r>
              <w:rPr>
                <w:b w:val="0"/>
                <w:sz w:val="16"/>
              </w:rPr>
              <w:t>5</w:t>
            </w:r>
          </w:p>
        </w:tc>
        <w:tc>
          <w:tcPr>
            <w:tcW w:type="dxa" w:w="1399"/>
            <w:vAlign w:val="center"/>
          </w:tcPr>
          <w:p>
            <w:pPr>
              <w:spacing w:after="0"/>
            </w:pPr>
            <w:r/>
            <w:r>
              <w:rPr>
                <w:b w:val="0"/>
                <w:sz w:val="16"/>
              </w:rPr>
              <w:t>4503</w:t>
            </w:r>
          </w:p>
        </w:tc>
        <w:tc>
          <w:tcPr>
            <w:tcW w:type="dxa" w:w="1399"/>
            <w:vAlign w:val="center"/>
          </w:tcPr>
          <w:p>
            <w:pPr>
              <w:spacing w:after="0"/>
            </w:pPr>
            <w:r/>
            <w:r>
              <w:rPr>
                <w:b w:val="0"/>
                <w:sz w:val="16"/>
              </w:rPr>
              <w:t>940</w:t>
            </w:r>
          </w:p>
        </w:tc>
        <w:tc>
          <w:tcPr>
            <w:tcW w:type="dxa" w:w="1399"/>
            <w:vAlign w:val="center"/>
          </w:tcPr>
          <w:p>
            <w:pPr>
              <w:spacing w:after="0"/>
            </w:pPr>
            <w:r/>
            <w:r>
              <w:rPr>
                <w:b w:val="0"/>
                <w:sz w:val="16"/>
              </w:rPr>
              <w:t>0.059 / 0.587 / 0.746 / 0.861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53.2% / 98.9%</w:t>
            </w:r>
          </w:p>
        </w:tc>
      </w:tr>
      <w:tr>
        <w:tc>
          <w:tcPr>
            <w:tcW w:type="dxa" w:w="1399"/>
            <w:vAlign w:val="center"/>
          </w:tcPr>
          <w:p>
            <w:pPr>
              <w:spacing w:after="0"/>
            </w:pPr>
            <w:r/>
            <w:r>
              <w:rPr>
                <w:b w:val="0"/>
                <w:sz w:val="16"/>
              </w:rPr>
              <w:t>GDSC2</w:t>
            </w:r>
          </w:p>
        </w:tc>
        <w:tc>
          <w:tcPr>
            <w:tcW w:type="dxa" w:w="1399"/>
            <w:vAlign w:val="center"/>
          </w:tcPr>
          <w:p>
            <w:pPr>
              <w:spacing w:after="0"/>
            </w:pPr>
            <w:r/>
            <w:r>
              <w:rPr>
                <w:b w:val="0"/>
                <w:sz w:val="16"/>
              </w:rPr>
              <w:t>5</w:t>
            </w:r>
          </w:p>
        </w:tc>
        <w:tc>
          <w:tcPr>
            <w:tcW w:type="dxa" w:w="1399"/>
            <w:vAlign w:val="center"/>
          </w:tcPr>
          <w:p>
            <w:pPr>
              <w:spacing w:after="0"/>
            </w:pPr>
            <w:r/>
            <w:r>
              <w:rPr>
                <w:b w:val="0"/>
                <w:sz w:val="16"/>
              </w:rPr>
              <w:t>4731</w:t>
            </w:r>
          </w:p>
        </w:tc>
        <w:tc>
          <w:tcPr>
            <w:tcW w:type="dxa" w:w="1399"/>
            <w:vAlign w:val="center"/>
          </w:tcPr>
          <w:p>
            <w:pPr>
              <w:spacing w:after="0"/>
            </w:pPr>
            <w:r/>
            <w:r>
              <w:rPr>
                <w:b w:val="0"/>
                <w:sz w:val="16"/>
              </w:rPr>
              <w:t>947</w:t>
            </w:r>
          </w:p>
        </w:tc>
        <w:tc>
          <w:tcPr>
            <w:tcW w:type="dxa" w:w="1399"/>
            <w:vAlign w:val="center"/>
          </w:tcPr>
          <w:p>
            <w:pPr>
              <w:spacing w:after="0"/>
            </w:pPr>
            <w:r/>
            <w:r>
              <w:rPr>
                <w:b w:val="0"/>
                <w:sz w:val="16"/>
              </w:rPr>
              <w:t>0.056 / 0.528 / 0.726 / 0.863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52.8% / 98.9%</w:t>
            </w:r>
          </w:p>
        </w:tc>
      </w:tr>
      <w:tr>
        <w:tc>
          <w:tcPr>
            <w:tcW w:type="dxa" w:w="1399"/>
            <w:vAlign w:val="center"/>
          </w:tcPr>
          <w:p>
            <w:pPr>
              <w:spacing w:after="0"/>
            </w:pPr>
            <w:r/>
            <w:r>
              <w:rPr>
                <w:b w:val="0"/>
                <w:sz w:val="16"/>
              </w:rPr>
              <w:t>CTD2</w:t>
            </w:r>
          </w:p>
        </w:tc>
        <w:tc>
          <w:tcPr>
            <w:tcW w:type="dxa" w:w="1399"/>
            <w:vAlign w:val="center"/>
          </w:tcPr>
          <w:p>
            <w:pPr>
              <w:spacing w:after="0"/>
            </w:pPr>
            <w:r/>
            <w:r>
              <w:rPr>
                <w:b w:val="0"/>
                <w:sz w:val="16"/>
              </w:rPr>
              <w:t>5</w:t>
            </w:r>
          </w:p>
        </w:tc>
        <w:tc>
          <w:tcPr>
            <w:tcW w:type="dxa" w:w="1399"/>
            <w:vAlign w:val="center"/>
          </w:tcPr>
          <w:p>
            <w:pPr>
              <w:spacing w:after="0"/>
            </w:pPr>
            <w:r/>
            <w:r>
              <w:rPr>
                <w:b w:val="0"/>
                <w:sz w:val="16"/>
              </w:rPr>
              <w:t>3926</w:t>
            </w:r>
          </w:p>
        </w:tc>
        <w:tc>
          <w:tcPr>
            <w:tcW w:type="dxa" w:w="1399"/>
            <w:vAlign w:val="center"/>
          </w:tcPr>
          <w:p>
            <w:pPr>
              <w:spacing w:after="0"/>
            </w:pPr>
            <w:r/>
            <w:r>
              <w:rPr>
                <w:b w:val="0"/>
                <w:sz w:val="16"/>
              </w:rPr>
              <w:t>808</w:t>
            </w:r>
          </w:p>
        </w:tc>
        <w:tc>
          <w:tcPr>
            <w:tcW w:type="dxa" w:w="1399"/>
            <w:vAlign w:val="center"/>
          </w:tcPr>
          <w:p>
            <w:pPr>
              <w:spacing w:after="0"/>
            </w:pPr>
            <w:r/>
            <w:r>
              <w:rPr>
                <w:b w:val="0"/>
                <w:sz w:val="16"/>
              </w:rPr>
              <w:t>0.011 / 0.288 / 0.448 / 0.603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98.0% / 70.2% / 98.3%</w:t>
            </w:r>
          </w:p>
        </w:tc>
      </w:tr>
    </w:tbl>
    <w:p>
      <w:pPr>
        <w:spacing w:after="40"/>
      </w:pP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compound</w:t>
            </w:r>
          </w:p>
        </w:tc>
        <w:tc>
          <w:tcPr>
            <w:tcW w:type="dxa" w:w="1958"/>
            <w:vAlign w:val="center"/>
            <w:shd w:fill="D9EAF7"/>
          </w:tcPr>
          <w:p>
            <w:pPr>
              <w:spacing w:after="0"/>
            </w:pPr>
            <w:r/>
            <w:r>
              <w:rPr>
                <w:b/>
                <w:sz w:val="16"/>
              </w:rPr>
              <w:t>Seeds</w:t>
            </w:r>
          </w:p>
        </w:tc>
        <w:tc>
          <w:tcPr>
            <w:tcW w:type="dxa" w:w="1958"/>
            <w:vAlign w:val="center"/>
            <w:shd w:fill="D9EAF7"/>
          </w:tcPr>
          <w:p>
            <w:pPr>
              <w:spacing w:after="0"/>
            </w:pPr>
            <w:r/>
            <w:r>
              <w:rPr>
                <w:b/>
                <w:sz w:val="16"/>
              </w:rPr>
              <w:t>Mean fusion delta</w:t>
            </w:r>
          </w:p>
        </w:tc>
        <w:tc>
          <w:tcPr>
            <w:tcW w:type="dxa" w:w="1958"/>
            <w:vAlign w:val="center"/>
            <w:shd w:fill="D9EAF7"/>
          </w:tcPr>
          <w:p>
            <w:pPr>
              <w:spacing w:after="0"/>
            </w:pPr>
            <w:r/>
            <w:r>
              <w:rPr>
                <w:b/>
                <w:sz w:val="16"/>
              </w:rPr>
              <w:t>Fusion helped</w:t>
            </w:r>
          </w:p>
        </w:tc>
        <w:tc>
          <w:tcPr>
            <w:tcW w:type="dxa" w:w="1958"/>
            <w:vAlign w:val="center"/>
            <w:shd w:fill="D9EAF7"/>
          </w:tcPr>
          <w:p>
            <w:pPr>
              <w:spacing w:after="0"/>
            </w:pPr>
            <w:r/>
            <w:r>
              <w:rPr>
                <w:b/>
                <w:sz w:val="16"/>
              </w:rPr>
              <w:t>Fusion worsened</w:t>
            </w:r>
          </w:p>
        </w:tc>
      </w:tr>
      <w:tr>
        <w:tc>
          <w:tcPr>
            <w:tcW w:type="dxa" w:w="1958"/>
            <w:vAlign w:val="center"/>
          </w:tcPr>
          <w:p>
            <w:pPr>
              <w:spacing w:after="0"/>
            </w:pPr>
            <w:r/>
            <w:r>
              <w:rPr>
                <w:b w:val="0"/>
                <w:sz w:val="16"/>
              </w:rPr>
              <w:t>ACY-1215 (GDSC1:264)</w:t>
            </w:r>
          </w:p>
        </w:tc>
        <w:tc>
          <w:tcPr>
            <w:tcW w:type="dxa" w:w="1958"/>
            <w:vAlign w:val="center"/>
          </w:tcPr>
          <w:p>
            <w:pPr>
              <w:spacing w:after="0"/>
            </w:pPr>
            <w:r/>
            <w:r>
              <w:rPr>
                <w:b w:val="0"/>
                <w:sz w:val="16"/>
              </w:rPr>
              <w:t>2</w:t>
            </w:r>
          </w:p>
        </w:tc>
        <w:tc>
          <w:tcPr>
            <w:tcW w:type="dxa" w:w="1958"/>
            <w:vAlign w:val="center"/>
          </w:tcPr>
          <w:p>
            <w:pPr>
              <w:spacing w:after="0"/>
            </w:pPr>
            <w:r/>
            <w:r>
              <w:rPr>
                <w:b w:val="0"/>
                <w:sz w:val="16"/>
              </w:rPr>
              <w:t>-0.0029</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AICA RIBONUCLEOTIDE (GDSC1:1001)</w:t>
            </w:r>
          </w:p>
        </w:tc>
        <w:tc>
          <w:tcPr>
            <w:tcW w:type="dxa" w:w="1958"/>
            <w:vAlign w:val="center"/>
          </w:tcPr>
          <w:p>
            <w:pPr>
              <w:spacing w:after="0"/>
            </w:pPr>
            <w:r/>
            <w:r>
              <w:rPr>
                <w:b w:val="0"/>
                <w:sz w:val="16"/>
              </w:rPr>
              <w:t>2</w:t>
            </w:r>
          </w:p>
        </w:tc>
        <w:tc>
          <w:tcPr>
            <w:tcW w:type="dxa" w:w="1958"/>
            <w:vAlign w:val="center"/>
          </w:tcPr>
          <w:p>
            <w:pPr>
              <w:spacing w:after="0"/>
            </w:pPr>
            <w:r/>
            <w:r>
              <w:rPr>
                <w:b w:val="0"/>
                <w:sz w:val="16"/>
              </w:rPr>
              <w:t>-0.0007</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DACOMITINIB (GDSC1:363)</w:t>
            </w:r>
          </w:p>
        </w:tc>
        <w:tc>
          <w:tcPr>
            <w:tcW w:type="dxa" w:w="1958"/>
            <w:vAlign w:val="center"/>
          </w:tcPr>
          <w:p>
            <w:pPr>
              <w:spacing w:after="0"/>
            </w:pPr>
            <w:r/>
            <w:r>
              <w:rPr>
                <w:b w:val="0"/>
                <w:sz w:val="16"/>
              </w:rPr>
              <w:t>2</w:t>
            </w:r>
          </w:p>
        </w:tc>
        <w:tc>
          <w:tcPr>
            <w:tcW w:type="dxa" w:w="1958"/>
            <w:vAlign w:val="center"/>
          </w:tcPr>
          <w:p>
            <w:pPr>
              <w:spacing w:after="0"/>
            </w:pPr>
            <w:r/>
            <w:r>
              <w:rPr>
                <w:b w:val="0"/>
                <w:sz w:val="16"/>
              </w:rPr>
              <w:t>-0.0020</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GSK1059615 (GDSC1:374)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NAVITOCLAX (GDSC2:1011)</w:t>
            </w:r>
          </w:p>
        </w:tc>
        <w:tc>
          <w:tcPr>
            <w:tcW w:type="dxa" w:w="1958"/>
            <w:vAlign w:val="center"/>
          </w:tcPr>
          <w:p>
            <w:pPr>
              <w:spacing w:after="0"/>
            </w:pPr>
            <w:r/>
            <w:r>
              <w:rPr>
                <w:b w:val="0"/>
                <w:sz w:val="16"/>
              </w:rPr>
              <w:t>2</w:t>
            </w:r>
          </w:p>
        </w:tc>
        <w:tc>
          <w:tcPr>
            <w:tcW w:type="dxa" w:w="1958"/>
            <w:vAlign w:val="center"/>
          </w:tcPr>
          <w:p>
            <w:pPr>
              <w:spacing w:after="0"/>
            </w:pPr>
            <w:r/>
            <w:r>
              <w:rPr>
                <w:b w:val="0"/>
                <w:sz w:val="16"/>
              </w:rPr>
              <w:t>-0.0014</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SR-II-138A</w:t>
            </w:r>
          </w:p>
        </w:tc>
        <w:tc>
          <w:tcPr>
            <w:tcW w:type="dxa" w:w="1958"/>
            <w:vAlign w:val="center"/>
          </w:tcPr>
          <w:p>
            <w:pPr>
              <w:spacing w:after="0"/>
            </w:pPr>
            <w:r/>
            <w:r>
              <w:rPr>
                <w:b w:val="0"/>
                <w:sz w:val="16"/>
              </w:rPr>
              <w:t>2</w:t>
            </w:r>
          </w:p>
        </w:tc>
        <w:tc>
          <w:tcPr>
            <w:tcW w:type="dxa" w:w="1958"/>
            <w:vAlign w:val="center"/>
          </w:tcPr>
          <w:p>
            <w:pPr>
              <w:spacing w:after="0"/>
            </w:pPr>
            <w:r/>
            <w:r>
              <w:rPr>
                <w:b w:val="0"/>
                <w:sz w:val="16"/>
              </w:rPr>
              <w:t>-0.0023</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STAUROSPORINE (GDSC2:1034)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TENOVIN-6 (GDSC1:342)</w:t>
            </w:r>
          </w:p>
        </w:tc>
        <w:tc>
          <w:tcPr>
            <w:tcW w:type="dxa" w:w="1958"/>
            <w:vAlign w:val="center"/>
          </w:tcPr>
          <w:p>
            <w:pPr>
              <w:spacing w:after="0"/>
            </w:pPr>
            <w:r/>
            <w:r>
              <w:rPr>
                <w:b w:val="0"/>
                <w:sz w:val="16"/>
              </w:rPr>
              <w:t>1</w:t>
            </w:r>
          </w:p>
        </w:tc>
        <w:tc>
          <w:tcPr>
            <w:tcW w:type="dxa" w:w="1958"/>
            <w:vAlign w:val="center"/>
          </w:tcPr>
          <w:p>
            <w:pPr>
              <w:spacing w:after="0"/>
            </w:pPr>
            <w:r/>
            <w:r>
              <w:rPr>
                <w:b w:val="0"/>
                <w:sz w:val="16"/>
              </w:rPr>
              <w:t>-0.0023</w:t>
            </w:r>
          </w:p>
        </w:tc>
        <w:tc>
          <w:tcPr>
            <w:tcW w:type="dxa" w:w="1958"/>
            <w:vAlign w:val="center"/>
          </w:tcPr>
          <w:p>
            <w:pPr>
              <w:spacing w:after="0"/>
            </w:pPr>
            <w:r/>
            <w:r>
              <w:rPr>
                <w:b w:val="0"/>
                <w:sz w:val="16"/>
              </w:rPr>
              <w:t>1</w:t>
            </w:r>
          </w:p>
        </w:tc>
        <w:tc>
          <w:tcPr>
            <w:tcW w:type="dxa" w:w="1958"/>
            <w:vAlign w:val="center"/>
          </w:tcPr>
          <w:p>
            <w:pPr>
              <w:spacing w:after="0"/>
            </w:pPr>
            <w:r/>
            <w:r>
              <w:rPr>
                <w:b w:val="0"/>
                <w:sz w:val="16"/>
              </w:rPr>
              <w:t>0</w:t>
            </w:r>
          </w:p>
        </w:tc>
      </w:tr>
    </w:tbl>
    <w:p>
      <w:pPr>
        <w:spacing w:after="40"/>
      </w:pP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rPr>
          <w:b/>
        </w:rPr>
        <w:t xml:space="preserve">Table 2.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3.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4.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5.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6.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ind w:left="0" w:right="0"/>
        <w:jc w:val="center"/>
      </w:pPr>
      <w:r>
        <w:drawing>
          <wp:inline xmlns:a="http://schemas.openxmlformats.org/drawingml/2006/main" xmlns:pic="http://schemas.openxmlformats.org/drawingml/2006/picture">
            <wp:extent cx="5212080" cy="3097693"/>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212080" cy="3097693"/>
                    </a:xfrm>
                    <a:prstGeom prst="rect"/>
                  </pic:spPr>
                </pic:pic>
              </a:graphicData>
            </a:graphic>
          </wp:inline>
        </w:drawing>
      </w:r>
    </w:p>
    <w:p>
      <w:pPr>
        <w:ind w:left="0" w:right="0"/>
        <w:jc w:val="center"/>
      </w:pPr>
      <w:r>
        <w:t>Figure 2. High-level leave-one-dataset-out comparison. This figure summarizes the cross-study transfer stress test; it is not a cross-dataset ranking of RMSE difficulty.</w:t>
      </w:r>
    </w:p>
    <w:p>
      <w:pPr>
        <w:ind w:left="0" w:right="0"/>
        <w:jc w:val="center"/>
      </w:pPr>
      <w:r>
        <w:drawing>
          <wp:inline xmlns:a="http://schemas.openxmlformats.org/drawingml/2006/main" xmlns:pic="http://schemas.openxmlformats.org/drawingml/2006/picture">
            <wp:extent cx="5212080" cy="2907398"/>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212080" cy="2907398"/>
                    </a:xfrm>
                    <a:prstGeom prst="rect"/>
                  </pic:spPr>
                </pic:pic>
              </a:graphicData>
            </a:graphic>
          </wp:inline>
        </w:drawing>
      </w:r>
    </w:p>
    <w:p>
      <w:pPr>
        <w:ind w:left="0" w:right="0"/>
        <w:jc w:val="center"/>
      </w:pPr>
      <w:r>
        <w:t>Figure 3. Fusion-minus-expression contrast and modality conflict. Negative fusion deltas favor fusion within the corresponding fold; values are not comparable across response scales.</w:t>
      </w:r>
    </w:p>
    <w:p>
      <w:pPr>
        <w:ind w:left="0" w:right="0"/>
        <w:jc w:val="center"/>
      </w:pPr>
      <w:r>
        <w:drawing>
          <wp:inline xmlns:a="http://schemas.openxmlformats.org/drawingml/2006/main" xmlns:pic="http://schemas.openxmlformats.org/drawingml/2006/picture">
            <wp:extent cx="5212080" cy="3318102"/>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212080" cy="3318102"/>
                    </a:xfrm>
                    <a:prstGeom prst="rect"/>
                  </pic:spPr>
                </pic:pic>
              </a:graphicData>
            </a:graphic>
          </wp:inline>
        </w:drawing>
      </w:r>
    </w:p>
    <w:p>
      <w:pPr>
        <w:ind w:left="0" w:right="0"/>
        <w:jc w:val="center"/>
      </w:pPr>
      <w:r>
        <w:t>Figure 4. Outer-join modality availability. This supports the missingness analysis and is not a performance metric.</w:t>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7.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8.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9.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