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AI for Pharmaceutical Industry</w:t>
        <w:br/>
        <w:t>Friedrich-Wilhelm 28, 12103 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Adding molecular assays may improve drug-response prediction, but the benefit may depend on the response resource, validation target, and data completeness. I compared expression-only and early-fusion Ridge models using expression, copy-number, and damaging-mutation features from GDSC1, GDSC2, and CTD². The declared benchmark contained 15 compounds. Feature selection, imputation, and scaling were performed within each training fold, followed by five grouped drug-held-out splits and leave-one-dataset-out transfer. Across the five drug-held-out splits, fusion had mean RMSE 0.2322 versus 0.2328 for expression alone, a mean difference of −0.0006. Fusion favored three splits and expression favored two. In the paired drug-group audit, the mean fusion-minus-expression difference was −0.0009 with a sample SD of 0.0019 across 15 drug-seed cells. Fusion was less favorable within each of the three source-held-out folds, although these folds change source, compound composition, cell lines, assay context, and response construction together. The small within-universe difference is conditional and variable, and the current design does not establish a general advantage for multimodal fusion. The results support using source-aware validation and data-availability audits before adopting additional assays in early drug-discovery modeling.</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pPr>
      <w: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pPr>
      <w:r>
        <w:rPr>
          <w:color w:val="1F4E79"/>
          <w:u w:val="single"/>
        </w:rPr>
        <w:t>The workflow is intended as a decision-support and benchmarking tool for early drug-discovery data science. Figure 1 summarizes the practical decision sequence used to interpret the benchmark.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p>
    <w:p>
      <w:pPr>
        <w:spacing w:after="120" w:line="259" w:lineRule="auto"/>
      </w:pPr>
      <w: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pPr>
      <w: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pPr>
      <w: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pPr>
      <w: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pPr>
      <w: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pPr>
      <w: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pPr>
      <w: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pPr>
      <w: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pPr>
      <w: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pPr>
      <w: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pPr>
      <w: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pPr>
      <w: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pPr>
      <w: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r>
        <w:rPr>
          <w:b/>
          <w:color w:val="1F4E79"/>
          <w:u w:val="single"/>
        </w:rPr>
        <w:t xml:space="preserve">Figure 1. </w:t>
      </w:r>
      <w:r>
        <w:rPr>
          <w:color w:val="1F4E79"/>
          <w:u w:val="single"/>
        </w:rPr>
        <w:t>Decision framework for applying the benchmark in pharmaceutical data science. The main branch emphasizes the intended use case, availability of drug-specific inputs, missingness, validation estimand, and reporting of uncertainty. The decision tree summarizes the central practical result; the detailed decision audit is provided in the Supplementary Material.</w:t>
      </w:r>
    </w:p>
    <w:p>
      <w:pPr>
        <w:ind w:left="0" w:right="0"/>
        <w:jc w:val="center"/>
      </w:pPr>
      <w:r>
        <w:drawing>
          <wp:inline xmlns:a="http://schemas.openxmlformats.org/drawingml/2006/main" xmlns:pic="http://schemas.openxmlformats.org/drawingml/2006/picture">
            <wp:extent cx="5852160" cy="3719977"/>
            <wp:docPr id="1" name="Picture 1"/>
            <wp:cNvGraphicFramePr>
              <a:graphicFrameLocks noChangeAspect="1"/>
            </wp:cNvGraphicFramePr>
            <a:graphic>
              <a:graphicData uri="http://schemas.openxmlformats.org/drawingml/2006/picture">
                <pic:pic>
                  <pic:nvPicPr>
                    <pic:cNvPr id="0" name="decision_tree_benchmark.png"/>
                    <pic:cNvPicPr/>
                  </pic:nvPicPr>
                  <pic:blipFill>
                    <a:blip r:embed="rId9"/>
                    <a:stretch>
                      <a:fillRect/>
                    </a:stretch>
                  </pic:blipFill>
                  <pic:spPr>
                    <a:xfrm>
                      <a:off x="0" y="0"/>
                      <a:ext cx="5852160" cy="3719977"/>
                    </a:xfrm>
                    <a:prstGeom prst="rect"/>
                  </pic:spPr>
                </pic:pic>
              </a:graphicData>
            </a:graphic>
          </wp:inline>
        </w:drawing>
      </w:r>
    </w:p>
    <w:p>
      <w:pPr>
        <w:pStyle w:val="Heading1"/>
        <w:keepNext/>
      </w:pPr>
      <w:r>
        <w:t>3. Results</w:t>
      </w:r>
    </w:p>
    <w:p>
      <w:pPr>
        <w:pStyle w:val="Heading2"/>
        <w:keepNext/>
      </w:pPr>
      <w:r>
        <w:t>3.1. Dataset characteristics and response scales</w:t>
      </w:r>
    </w:p>
    <w:p>
      <w:pPr>
        <w:spacing w:after="120" w:line="259" w:lineRule="auto"/>
      </w:pPr>
      <w: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r>
        <w:rPr>
          <w:b/>
          <w:color w:val="1F4E79"/>
          <w:u w:val="single"/>
        </w:rPr>
        <w:t xml:space="preserve">Table 1. </w:t>
      </w:r>
      <w:r>
        <w:rPr>
          <w:color w:val="1F4E79"/>
          <w:u w:val="single"/>
        </w:rPr>
        <w:t>Dataset characteristics for the declared 15-compound universe. AUC values are min / Q1 / median / Q3 / max; feature counts are expression / copy number / damaging mutation; coverage is the percentage of selected response cell lines represented in those modalities.</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D9EAF7"/>
          </w:tcPr>
          <w:p>
            <w:pPr>
              <w:spacing w:after="0"/>
            </w:pPr>
            <w:r/>
            <w:r>
              <w:rPr>
                <w:b/>
                <w:sz w:val="16"/>
              </w:rPr>
              <w:t>Dataset</w:t>
            </w:r>
          </w:p>
        </w:tc>
        <w:tc>
          <w:tcPr>
            <w:tcW w:type="dxa" w:w="1399"/>
            <w:vAlign w:val="center"/>
            <w:shd w:fill="D9EAF7"/>
          </w:tcPr>
          <w:p>
            <w:pPr>
              <w:spacing w:after="0"/>
            </w:pPr>
            <w:r/>
            <w:r>
              <w:rPr>
                <w:b/>
                <w:sz w:val="16"/>
              </w:rPr>
              <w:t>Compounds</w:t>
            </w:r>
          </w:p>
        </w:tc>
        <w:tc>
          <w:tcPr>
            <w:tcW w:type="dxa" w:w="1399"/>
            <w:vAlign w:val="center"/>
            <w:shd w:fill="D9EAF7"/>
          </w:tcPr>
          <w:p>
            <w:pPr>
              <w:spacing w:after="0"/>
            </w:pPr>
            <w:r/>
            <w:r>
              <w:rPr>
                <w:b/>
                <w:sz w:val="16"/>
              </w:rPr>
              <w:t>Response rows</w:t>
            </w:r>
          </w:p>
        </w:tc>
        <w:tc>
          <w:tcPr>
            <w:tcW w:type="dxa" w:w="1399"/>
            <w:vAlign w:val="center"/>
            <w:shd w:fill="D9EAF7"/>
          </w:tcPr>
          <w:p>
            <w:pPr>
              <w:spacing w:after="0"/>
            </w:pPr>
            <w:r/>
            <w:r>
              <w:rPr>
                <w:b/>
                <w:sz w:val="16"/>
              </w:rPr>
              <w:t>Cell lines</w:t>
            </w:r>
          </w:p>
        </w:tc>
        <w:tc>
          <w:tcPr>
            <w:tcW w:type="dxa" w:w="1399"/>
            <w:vAlign w:val="center"/>
            <w:shd w:fill="D9EAF7"/>
          </w:tcPr>
          <w:p>
            <w:pPr>
              <w:spacing w:after="0"/>
            </w:pPr>
            <w:r/>
            <w:r>
              <w:rPr>
                <w:b/>
                <w:sz w:val="16"/>
              </w:rPr>
              <w:t>AUC distribution</w:t>
            </w:r>
          </w:p>
        </w:tc>
        <w:tc>
          <w:tcPr>
            <w:tcW w:type="dxa" w:w="1399"/>
            <w:vAlign w:val="center"/>
            <w:shd w:fill="D9EAF7"/>
          </w:tcPr>
          <w:p>
            <w:pPr>
              <w:spacing w:after="0"/>
            </w:pPr>
            <w:r/>
            <w:r>
              <w:rPr>
                <w:b/>
                <w:sz w:val="16"/>
              </w:rPr>
              <w:t>Raw features</w:t>
            </w:r>
          </w:p>
        </w:tc>
        <w:tc>
          <w:tcPr>
            <w:tcW w:type="dxa" w:w="1399"/>
            <w:vAlign w:val="center"/>
            <w:shd w:fill="D9EAF7"/>
          </w:tcPr>
          <w:p>
            <w:pPr>
              <w:spacing w:after="0"/>
            </w:pPr>
            <w:r/>
            <w:r>
              <w:rPr>
                <w:b/>
                <w:sz w:val="16"/>
              </w:rPr>
              <w:t>Modality coverage</w:t>
            </w:r>
          </w:p>
        </w:tc>
      </w:tr>
      <w:tr>
        <w:tc>
          <w:tcPr>
            <w:tcW w:type="dxa" w:w="1399"/>
            <w:vAlign w:val="center"/>
          </w:tcPr>
          <w:p>
            <w:pPr>
              <w:spacing w:after="0"/>
            </w:pPr>
            <w:r/>
            <w:r>
              <w:rPr>
                <w:b w:val="0"/>
                <w:sz w:val="16"/>
              </w:rPr>
              <w:t>GDSC1</w:t>
            </w:r>
          </w:p>
        </w:tc>
        <w:tc>
          <w:tcPr>
            <w:tcW w:type="dxa" w:w="1399"/>
            <w:vAlign w:val="center"/>
          </w:tcPr>
          <w:p>
            <w:pPr>
              <w:spacing w:after="0"/>
            </w:pPr>
            <w:r/>
            <w:r>
              <w:rPr>
                <w:b w:val="0"/>
                <w:sz w:val="16"/>
              </w:rPr>
              <w:t>5</w:t>
            </w:r>
          </w:p>
        </w:tc>
        <w:tc>
          <w:tcPr>
            <w:tcW w:type="dxa" w:w="1399"/>
            <w:vAlign w:val="center"/>
          </w:tcPr>
          <w:p>
            <w:pPr>
              <w:spacing w:after="0"/>
            </w:pPr>
            <w:r/>
            <w:r>
              <w:rPr>
                <w:b w:val="0"/>
                <w:sz w:val="16"/>
              </w:rPr>
              <w:t>4503</w:t>
            </w:r>
          </w:p>
        </w:tc>
        <w:tc>
          <w:tcPr>
            <w:tcW w:type="dxa" w:w="1399"/>
            <w:vAlign w:val="center"/>
          </w:tcPr>
          <w:p>
            <w:pPr>
              <w:spacing w:after="0"/>
            </w:pPr>
            <w:r/>
            <w:r>
              <w:rPr>
                <w:b w:val="0"/>
                <w:sz w:val="16"/>
              </w:rPr>
              <w:t>940</w:t>
            </w:r>
          </w:p>
        </w:tc>
        <w:tc>
          <w:tcPr>
            <w:tcW w:type="dxa" w:w="1399"/>
            <w:vAlign w:val="center"/>
          </w:tcPr>
          <w:p>
            <w:pPr>
              <w:spacing w:after="0"/>
            </w:pPr>
            <w:r/>
            <w:r>
              <w:rPr>
                <w:b w:val="0"/>
                <w:sz w:val="16"/>
              </w:rPr>
              <w:t>0.059 / 0.587 / 0.746 / 0.861 / 1.000</w:t>
            </w:r>
          </w:p>
        </w:tc>
        <w:tc>
          <w:tcPr>
            <w:tcW w:type="dxa" w:w="1399"/>
            <w:vAlign w:val="center"/>
          </w:tcPr>
          <w:p>
            <w:pPr>
              <w:spacing w:after="0"/>
            </w:pPr>
            <w:r/>
            <w:r>
              <w:rPr>
                <w:b w:val="0"/>
                <w:sz w:val="16"/>
              </w:rPr>
              <w:t>19215 / 18613 / 19505</w:t>
            </w:r>
          </w:p>
        </w:tc>
        <w:tc>
          <w:tcPr>
            <w:tcW w:type="dxa" w:w="1399"/>
            <w:vAlign w:val="center"/>
          </w:tcPr>
          <w:p>
            <w:pPr>
              <w:spacing w:after="0"/>
            </w:pPr>
            <w:r/>
            <w:r>
              <w:rPr>
                <w:b w:val="0"/>
                <w:sz w:val="16"/>
              </w:rPr>
              <w:t>74.0% / 53.2% / 98.9%</w:t>
            </w:r>
          </w:p>
        </w:tc>
      </w:tr>
      <w:tr>
        <w:tc>
          <w:tcPr>
            <w:tcW w:type="dxa" w:w="1399"/>
            <w:vAlign w:val="center"/>
          </w:tcPr>
          <w:p>
            <w:pPr>
              <w:spacing w:after="0"/>
            </w:pPr>
            <w:r/>
            <w:r>
              <w:rPr>
                <w:b w:val="0"/>
                <w:sz w:val="16"/>
              </w:rPr>
              <w:t>GDSC2</w:t>
            </w:r>
          </w:p>
        </w:tc>
        <w:tc>
          <w:tcPr>
            <w:tcW w:type="dxa" w:w="1399"/>
            <w:vAlign w:val="center"/>
          </w:tcPr>
          <w:p>
            <w:pPr>
              <w:spacing w:after="0"/>
            </w:pPr>
            <w:r/>
            <w:r>
              <w:rPr>
                <w:b w:val="0"/>
                <w:sz w:val="16"/>
              </w:rPr>
              <w:t>5</w:t>
            </w:r>
          </w:p>
        </w:tc>
        <w:tc>
          <w:tcPr>
            <w:tcW w:type="dxa" w:w="1399"/>
            <w:vAlign w:val="center"/>
          </w:tcPr>
          <w:p>
            <w:pPr>
              <w:spacing w:after="0"/>
            </w:pPr>
            <w:r/>
            <w:r>
              <w:rPr>
                <w:b w:val="0"/>
                <w:sz w:val="16"/>
              </w:rPr>
              <w:t>4731</w:t>
            </w:r>
          </w:p>
        </w:tc>
        <w:tc>
          <w:tcPr>
            <w:tcW w:type="dxa" w:w="1399"/>
            <w:vAlign w:val="center"/>
          </w:tcPr>
          <w:p>
            <w:pPr>
              <w:spacing w:after="0"/>
            </w:pPr>
            <w:r/>
            <w:r>
              <w:rPr>
                <w:b w:val="0"/>
                <w:sz w:val="16"/>
              </w:rPr>
              <w:t>947</w:t>
            </w:r>
          </w:p>
        </w:tc>
        <w:tc>
          <w:tcPr>
            <w:tcW w:type="dxa" w:w="1399"/>
            <w:vAlign w:val="center"/>
          </w:tcPr>
          <w:p>
            <w:pPr>
              <w:spacing w:after="0"/>
            </w:pPr>
            <w:r/>
            <w:r>
              <w:rPr>
                <w:b w:val="0"/>
                <w:sz w:val="16"/>
              </w:rPr>
              <w:t>0.056 / 0.528 / 0.726 / 0.863 / 1.000</w:t>
            </w:r>
          </w:p>
        </w:tc>
        <w:tc>
          <w:tcPr>
            <w:tcW w:type="dxa" w:w="1399"/>
            <w:vAlign w:val="center"/>
          </w:tcPr>
          <w:p>
            <w:pPr>
              <w:spacing w:after="0"/>
            </w:pPr>
            <w:r/>
            <w:r>
              <w:rPr>
                <w:b w:val="0"/>
                <w:sz w:val="16"/>
              </w:rPr>
              <w:t>19215 / 18613 / 19505</w:t>
            </w:r>
          </w:p>
        </w:tc>
        <w:tc>
          <w:tcPr>
            <w:tcW w:type="dxa" w:w="1399"/>
            <w:vAlign w:val="center"/>
          </w:tcPr>
          <w:p>
            <w:pPr>
              <w:spacing w:after="0"/>
            </w:pPr>
            <w:r/>
            <w:r>
              <w:rPr>
                <w:b w:val="0"/>
                <w:sz w:val="16"/>
              </w:rPr>
              <w:t>74.0% / 52.8% / 98.9%</w:t>
            </w:r>
          </w:p>
        </w:tc>
      </w:tr>
      <w:tr>
        <w:tc>
          <w:tcPr>
            <w:tcW w:type="dxa" w:w="1399"/>
            <w:vAlign w:val="center"/>
          </w:tcPr>
          <w:p>
            <w:pPr>
              <w:spacing w:after="0"/>
            </w:pPr>
            <w:r/>
            <w:r>
              <w:rPr>
                <w:b w:val="0"/>
                <w:sz w:val="16"/>
              </w:rPr>
              <w:t>CTD2</w:t>
            </w:r>
          </w:p>
        </w:tc>
        <w:tc>
          <w:tcPr>
            <w:tcW w:type="dxa" w:w="1399"/>
            <w:vAlign w:val="center"/>
          </w:tcPr>
          <w:p>
            <w:pPr>
              <w:spacing w:after="0"/>
            </w:pPr>
            <w:r/>
            <w:r>
              <w:rPr>
                <w:b w:val="0"/>
                <w:sz w:val="16"/>
              </w:rPr>
              <w:t>5</w:t>
            </w:r>
          </w:p>
        </w:tc>
        <w:tc>
          <w:tcPr>
            <w:tcW w:type="dxa" w:w="1399"/>
            <w:vAlign w:val="center"/>
          </w:tcPr>
          <w:p>
            <w:pPr>
              <w:spacing w:after="0"/>
            </w:pPr>
            <w:r/>
            <w:r>
              <w:rPr>
                <w:b w:val="0"/>
                <w:sz w:val="16"/>
              </w:rPr>
              <w:t>3926</w:t>
            </w:r>
          </w:p>
        </w:tc>
        <w:tc>
          <w:tcPr>
            <w:tcW w:type="dxa" w:w="1399"/>
            <w:vAlign w:val="center"/>
          </w:tcPr>
          <w:p>
            <w:pPr>
              <w:spacing w:after="0"/>
            </w:pPr>
            <w:r/>
            <w:r>
              <w:rPr>
                <w:b w:val="0"/>
                <w:sz w:val="16"/>
              </w:rPr>
              <w:t>808</w:t>
            </w:r>
          </w:p>
        </w:tc>
        <w:tc>
          <w:tcPr>
            <w:tcW w:type="dxa" w:w="1399"/>
            <w:vAlign w:val="center"/>
          </w:tcPr>
          <w:p>
            <w:pPr>
              <w:spacing w:after="0"/>
            </w:pPr>
            <w:r/>
            <w:r>
              <w:rPr>
                <w:b w:val="0"/>
                <w:sz w:val="16"/>
              </w:rPr>
              <w:t>0.011 / 0.288 / 0.448 / 0.603 / 1.000</w:t>
            </w:r>
          </w:p>
        </w:tc>
        <w:tc>
          <w:tcPr>
            <w:tcW w:type="dxa" w:w="1399"/>
            <w:vAlign w:val="center"/>
          </w:tcPr>
          <w:p>
            <w:pPr>
              <w:spacing w:after="0"/>
            </w:pPr>
            <w:r/>
            <w:r>
              <w:rPr>
                <w:b w:val="0"/>
                <w:sz w:val="16"/>
              </w:rPr>
              <w:t>19215 / 18613 / 19505</w:t>
            </w:r>
          </w:p>
        </w:tc>
        <w:tc>
          <w:tcPr>
            <w:tcW w:type="dxa" w:w="1399"/>
            <w:vAlign w:val="center"/>
          </w:tcPr>
          <w:p>
            <w:pPr>
              <w:spacing w:after="0"/>
            </w:pPr>
            <w:r/>
            <w:r>
              <w:rPr>
                <w:b w:val="0"/>
                <w:sz w:val="16"/>
              </w:rPr>
              <w:t>98.0% / 70.2% / 98.3%</w:t>
            </w:r>
          </w:p>
        </w:tc>
      </w:tr>
    </w:tbl>
    <w:p>
      <w:pPr>
        <w:spacing w:after="40"/>
      </w:pPr>
    </w:p>
    <w:p>
      <w:pPr>
        <w:pStyle w:val="Heading2"/>
        <w:keepNext/>
      </w:pPr>
      <w:r>
        <w:t>3.2.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r>
        <w:rPr>
          <w:b/>
        </w:rPr>
        <w:t xml:space="preserve">Supplementary Table S3 reports individual compound results. </w:t>
      </w:r>
      <w: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compound</w:t>
            </w:r>
          </w:p>
        </w:tc>
        <w:tc>
          <w:tcPr>
            <w:tcW w:type="dxa" w:w="1958"/>
            <w:vAlign w:val="center"/>
            <w:shd w:fill="D9EAF7"/>
          </w:tcPr>
          <w:p>
            <w:pPr>
              <w:spacing w:after="0"/>
            </w:pPr>
            <w:r/>
            <w:r>
              <w:rPr>
                <w:b/>
                <w:sz w:val="16"/>
              </w:rPr>
              <w:t>Seeds</w:t>
            </w:r>
          </w:p>
        </w:tc>
        <w:tc>
          <w:tcPr>
            <w:tcW w:type="dxa" w:w="1958"/>
            <w:vAlign w:val="center"/>
            <w:shd w:fill="D9EAF7"/>
          </w:tcPr>
          <w:p>
            <w:pPr>
              <w:spacing w:after="0"/>
            </w:pPr>
            <w:r/>
            <w:r>
              <w:rPr>
                <w:b/>
                <w:sz w:val="16"/>
              </w:rPr>
              <w:t>Mean fusion delta</w:t>
            </w:r>
          </w:p>
        </w:tc>
        <w:tc>
          <w:tcPr>
            <w:tcW w:type="dxa" w:w="1958"/>
            <w:vAlign w:val="center"/>
            <w:shd w:fill="D9EAF7"/>
          </w:tcPr>
          <w:p>
            <w:pPr>
              <w:spacing w:after="0"/>
            </w:pPr>
            <w:r/>
            <w:r>
              <w:rPr>
                <w:b/>
                <w:sz w:val="16"/>
              </w:rPr>
              <w:t>Fusion helped</w:t>
            </w:r>
          </w:p>
        </w:tc>
        <w:tc>
          <w:tcPr>
            <w:tcW w:type="dxa" w:w="1958"/>
            <w:vAlign w:val="center"/>
            <w:shd w:fill="D9EAF7"/>
          </w:tcPr>
          <w:p>
            <w:pPr>
              <w:spacing w:after="0"/>
            </w:pPr>
            <w:r/>
            <w:r>
              <w:rPr>
                <w:b/>
                <w:sz w:val="16"/>
              </w:rPr>
              <w:t>Fusion worsened</w:t>
            </w:r>
          </w:p>
        </w:tc>
      </w:tr>
      <w:tr>
        <w:tc>
          <w:tcPr>
            <w:tcW w:type="dxa" w:w="1958"/>
            <w:vAlign w:val="center"/>
          </w:tcPr>
          <w:p>
            <w:pPr>
              <w:spacing w:after="0"/>
            </w:pPr>
            <w:r/>
            <w:r>
              <w:rPr>
                <w:b w:val="0"/>
                <w:sz w:val="16"/>
              </w:rPr>
              <w:t>ACY-1215 (GDSC1:264)</w:t>
            </w:r>
          </w:p>
        </w:tc>
        <w:tc>
          <w:tcPr>
            <w:tcW w:type="dxa" w:w="1958"/>
            <w:vAlign w:val="center"/>
          </w:tcPr>
          <w:p>
            <w:pPr>
              <w:spacing w:after="0"/>
            </w:pPr>
            <w:r/>
            <w:r>
              <w:rPr>
                <w:b w:val="0"/>
                <w:sz w:val="16"/>
              </w:rPr>
              <w:t>2</w:t>
            </w:r>
          </w:p>
        </w:tc>
        <w:tc>
          <w:tcPr>
            <w:tcW w:type="dxa" w:w="1958"/>
            <w:vAlign w:val="center"/>
          </w:tcPr>
          <w:p>
            <w:pPr>
              <w:spacing w:after="0"/>
            </w:pPr>
            <w:r/>
            <w:r>
              <w:rPr>
                <w:b w:val="0"/>
                <w:sz w:val="16"/>
              </w:rPr>
              <w:t>-0.0029</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AICA RIBONUCLEOTIDE (GDSC1:1001)</w:t>
            </w:r>
          </w:p>
        </w:tc>
        <w:tc>
          <w:tcPr>
            <w:tcW w:type="dxa" w:w="1958"/>
            <w:vAlign w:val="center"/>
          </w:tcPr>
          <w:p>
            <w:pPr>
              <w:spacing w:after="0"/>
            </w:pPr>
            <w:r/>
            <w:r>
              <w:rPr>
                <w:b w:val="0"/>
                <w:sz w:val="16"/>
              </w:rPr>
              <w:t>2</w:t>
            </w:r>
          </w:p>
        </w:tc>
        <w:tc>
          <w:tcPr>
            <w:tcW w:type="dxa" w:w="1958"/>
            <w:vAlign w:val="center"/>
          </w:tcPr>
          <w:p>
            <w:pPr>
              <w:spacing w:after="0"/>
            </w:pPr>
            <w:r/>
            <w:r>
              <w:rPr>
                <w:b w:val="0"/>
                <w:sz w:val="16"/>
              </w:rPr>
              <w:t>-0.0007</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DACOMITINIB (GDSC1:363)</w:t>
            </w:r>
          </w:p>
        </w:tc>
        <w:tc>
          <w:tcPr>
            <w:tcW w:type="dxa" w:w="1958"/>
            <w:vAlign w:val="center"/>
          </w:tcPr>
          <w:p>
            <w:pPr>
              <w:spacing w:after="0"/>
            </w:pPr>
            <w:r/>
            <w:r>
              <w:rPr>
                <w:b w:val="0"/>
                <w:sz w:val="16"/>
              </w:rPr>
              <w:t>2</w:t>
            </w:r>
          </w:p>
        </w:tc>
        <w:tc>
          <w:tcPr>
            <w:tcW w:type="dxa" w:w="1958"/>
            <w:vAlign w:val="center"/>
          </w:tcPr>
          <w:p>
            <w:pPr>
              <w:spacing w:after="0"/>
            </w:pPr>
            <w:r/>
            <w:r>
              <w:rPr>
                <w:b w:val="0"/>
                <w:sz w:val="16"/>
              </w:rPr>
              <w:t>-0.0020</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GSK1059615 (GDSC1:374)</w:t>
            </w:r>
          </w:p>
        </w:tc>
        <w:tc>
          <w:tcPr>
            <w:tcW w:type="dxa" w:w="1958"/>
            <w:vAlign w:val="center"/>
          </w:tcPr>
          <w:p>
            <w:pPr>
              <w:spacing w:after="0"/>
            </w:pPr>
            <w:r/>
            <w:r>
              <w:rPr>
                <w:b w:val="0"/>
                <w:sz w:val="16"/>
              </w:rPr>
              <w:t>2</w:t>
            </w:r>
          </w:p>
        </w:tc>
        <w:tc>
          <w:tcPr>
            <w:tcW w:type="dxa" w:w="1958"/>
            <w:vAlign w:val="center"/>
          </w:tcPr>
          <w:p>
            <w:pPr>
              <w:spacing w:after="0"/>
            </w:pPr>
            <w:r/>
            <w:r>
              <w:rPr>
                <w:b w:val="0"/>
                <w:sz w:val="16"/>
              </w:rPr>
              <w:t>+0.0019</w:t>
            </w:r>
          </w:p>
        </w:tc>
        <w:tc>
          <w:tcPr>
            <w:tcW w:type="dxa" w:w="1958"/>
            <w:vAlign w:val="center"/>
          </w:tcPr>
          <w:p>
            <w:pPr>
              <w:spacing w:after="0"/>
            </w:pPr>
            <w:r/>
            <w:r>
              <w:rPr>
                <w:b w:val="0"/>
                <w:sz w:val="16"/>
              </w:rPr>
              <w:t>0</w:t>
            </w:r>
          </w:p>
        </w:tc>
        <w:tc>
          <w:tcPr>
            <w:tcW w:type="dxa" w:w="1958"/>
            <w:vAlign w:val="center"/>
          </w:tcPr>
          <w:p>
            <w:pPr>
              <w:spacing w:after="0"/>
            </w:pPr>
            <w:r/>
            <w:r>
              <w:rPr>
                <w:b w:val="0"/>
                <w:sz w:val="16"/>
              </w:rPr>
              <w:t>2</w:t>
            </w:r>
          </w:p>
        </w:tc>
      </w:tr>
      <w:tr>
        <w:tc>
          <w:tcPr>
            <w:tcW w:type="dxa" w:w="1958"/>
            <w:vAlign w:val="center"/>
          </w:tcPr>
          <w:p>
            <w:pPr>
              <w:spacing w:after="0"/>
            </w:pPr>
            <w:r/>
            <w:r>
              <w:rPr>
                <w:b w:val="0"/>
                <w:sz w:val="16"/>
              </w:rPr>
              <w:t>NAVITOCLAX (GDSC2:1011)</w:t>
            </w:r>
          </w:p>
        </w:tc>
        <w:tc>
          <w:tcPr>
            <w:tcW w:type="dxa" w:w="1958"/>
            <w:vAlign w:val="center"/>
          </w:tcPr>
          <w:p>
            <w:pPr>
              <w:spacing w:after="0"/>
            </w:pPr>
            <w:r/>
            <w:r>
              <w:rPr>
                <w:b w:val="0"/>
                <w:sz w:val="16"/>
              </w:rPr>
              <w:t>2</w:t>
            </w:r>
          </w:p>
        </w:tc>
        <w:tc>
          <w:tcPr>
            <w:tcW w:type="dxa" w:w="1958"/>
            <w:vAlign w:val="center"/>
          </w:tcPr>
          <w:p>
            <w:pPr>
              <w:spacing w:after="0"/>
            </w:pPr>
            <w:r/>
            <w:r>
              <w:rPr>
                <w:b w:val="0"/>
                <w:sz w:val="16"/>
              </w:rPr>
              <w:t>-0.0014</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SR-II-138A</w:t>
            </w:r>
          </w:p>
        </w:tc>
        <w:tc>
          <w:tcPr>
            <w:tcW w:type="dxa" w:w="1958"/>
            <w:vAlign w:val="center"/>
          </w:tcPr>
          <w:p>
            <w:pPr>
              <w:spacing w:after="0"/>
            </w:pPr>
            <w:r/>
            <w:r>
              <w:rPr>
                <w:b w:val="0"/>
                <w:sz w:val="16"/>
              </w:rPr>
              <w:t>2</w:t>
            </w:r>
          </w:p>
        </w:tc>
        <w:tc>
          <w:tcPr>
            <w:tcW w:type="dxa" w:w="1958"/>
            <w:vAlign w:val="center"/>
          </w:tcPr>
          <w:p>
            <w:pPr>
              <w:spacing w:after="0"/>
            </w:pPr>
            <w:r/>
            <w:r>
              <w:rPr>
                <w:b w:val="0"/>
                <w:sz w:val="16"/>
              </w:rPr>
              <w:t>-0.0023</w:t>
            </w:r>
          </w:p>
        </w:tc>
        <w:tc>
          <w:tcPr>
            <w:tcW w:type="dxa" w:w="1958"/>
            <w:vAlign w:val="center"/>
          </w:tcPr>
          <w:p>
            <w:pPr>
              <w:spacing w:after="0"/>
            </w:pPr>
            <w:r/>
            <w:r>
              <w:rPr>
                <w:b w:val="0"/>
                <w:sz w:val="16"/>
              </w:rPr>
              <w:t>2</w:t>
            </w:r>
          </w:p>
        </w:tc>
        <w:tc>
          <w:tcPr>
            <w:tcW w:type="dxa" w:w="1958"/>
            <w:vAlign w:val="center"/>
          </w:tcPr>
          <w:p>
            <w:pPr>
              <w:spacing w:after="0"/>
            </w:pPr>
            <w:r/>
            <w:r>
              <w:rPr>
                <w:b w:val="0"/>
                <w:sz w:val="16"/>
              </w:rPr>
              <w:t>0</w:t>
            </w:r>
          </w:p>
        </w:tc>
      </w:tr>
      <w:tr>
        <w:tc>
          <w:tcPr>
            <w:tcW w:type="dxa" w:w="1958"/>
            <w:vAlign w:val="center"/>
          </w:tcPr>
          <w:p>
            <w:pPr>
              <w:spacing w:after="0"/>
            </w:pPr>
            <w:r/>
            <w:r>
              <w:rPr>
                <w:b w:val="0"/>
                <w:sz w:val="16"/>
              </w:rPr>
              <w:t>STAUROSPORINE (GDSC2:1034)</w:t>
            </w:r>
          </w:p>
        </w:tc>
        <w:tc>
          <w:tcPr>
            <w:tcW w:type="dxa" w:w="1958"/>
            <w:vAlign w:val="center"/>
          </w:tcPr>
          <w:p>
            <w:pPr>
              <w:spacing w:after="0"/>
            </w:pPr>
            <w:r/>
            <w:r>
              <w:rPr>
                <w:b w:val="0"/>
                <w:sz w:val="16"/>
              </w:rPr>
              <w:t>2</w:t>
            </w:r>
          </w:p>
        </w:tc>
        <w:tc>
          <w:tcPr>
            <w:tcW w:type="dxa" w:w="1958"/>
            <w:vAlign w:val="center"/>
          </w:tcPr>
          <w:p>
            <w:pPr>
              <w:spacing w:after="0"/>
            </w:pPr>
            <w:r/>
            <w:r>
              <w:rPr>
                <w:b w:val="0"/>
                <w:sz w:val="16"/>
              </w:rPr>
              <w:t>+0.0019</w:t>
            </w:r>
          </w:p>
        </w:tc>
        <w:tc>
          <w:tcPr>
            <w:tcW w:type="dxa" w:w="1958"/>
            <w:vAlign w:val="center"/>
          </w:tcPr>
          <w:p>
            <w:pPr>
              <w:spacing w:after="0"/>
            </w:pPr>
            <w:r/>
            <w:r>
              <w:rPr>
                <w:b w:val="0"/>
                <w:sz w:val="16"/>
              </w:rPr>
              <w:t>0</w:t>
            </w:r>
          </w:p>
        </w:tc>
        <w:tc>
          <w:tcPr>
            <w:tcW w:type="dxa" w:w="1958"/>
            <w:vAlign w:val="center"/>
          </w:tcPr>
          <w:p>
            <w:pPr>
              <w:spacing w:after="0"/>
            </w:pPr>
            <w:r/>
            <w:r>
              <w:rPr>
                <w:b w:val="0"/>
                <w:sz w:val="16"/>
              </w:rPr>
              <w:t>2</w:t>
            </w:r>
          </w:p>
        </w:tc>
      </w:tr>
      <w:tr>
        <w:tc>
          <w:tcPr>
            <w:tcW w:type="dxa" w:w="1958"/>
            <w:vAlign w:val="center"/>
          </w:tcPr>
          <w:p>
            <w:pPr>
              <w:spacing w:after="0"/>
            </w:pPr>
            <w:r/>
            <w:r>
              <w:rPr>
                <w:b w:val="0"/>
                <w:sz w:val="16"/>
              </w:rPr>
              <w:t>TENOVIN-6 (GDSC1:342)</w:t>
            </w:r>
          </w:p>
        </w:tc>
        <w:tc>
          <w:tcPr>
            <w:tcW w:type="dxa" w:w="1958"/>
            <w:vAlign w:val="center"/>
          </w:tcPr>
          <w:p>
            <w:pPr>
              <w:spacing w:after="0"/>
            </w:pPr>
            <w:r/>
            <w:r>
              <w:rPr>
                <w:b w:val="0"/>
                <w:sz w:val="16"/>
              </w:rPr>
              <w:t>1</w:t>
            </w:r>
          </w:p>
        </w:tc>
        <w:tc>
          <w:tcPr>
            <w:tcW w:type="dxa" w:w="1958"/>
            <w:vAlign w:val="center"/>
          </w:tcPr>
          <w:p>
            <w:pPr>
              <w:spacing w:after="0"/>
            </w:pPr>
            <w:r/>
            <w:r>
              <w:rPr>
                <w:b w:val="0"/>
                <w:sz w:val="16"/>
              </w:rPr>
              <w:t>-0.0023</w:t>
            </w:r>
          </w:p>
        </w:tc>
        <w:tc>
          <w:tcPr>
            <w:tcW w:type="dxa" w:w="1958"/>
            <w:vAlign w:val="center"/>
          </w:tcPr>
          <w:p>
            <w:pPr>
              <w:spacing w:after="0"/>
            </w:pPr>
            <w:r/>
            <w:r>
              <w:rPr>
                <w:b w:val="0"/>
                <w:sz w:val="16"/>
              </w:rPr>
              <w:t>1</w:t>
            </w:r>
          </w:p>
        </w:tc>
        <w:tc>
          <w:tcPr>
            <w:tcW w:type="dxa" w:w="1958"/>
            <w:vAlign w:val="center"/>
          </w:tcPr>
          <w:p>
            <w:pPr>
              <w:spacing w:after="0"/>
            </w:pPr>
            <w:r/>
            <w:r>
              <w:rPr>
                <w:b w:val="0"/>
                <w:sz w:val="16"/>
              </w:rPr>
              <w:t>0</w:t>
            </w:r>
          </w:p>
        </w:tc>
      </w:tr>
    </w:tbl>
    <w:p>
      <w:pPr>
        <w:spacing w:after="40"/>
      </w:pPr>
    </w:p>
    <w:p>
      <w:pPr>
        <w:pStyle w:val="Heading2"/>
        <w:keepNext/>
      </w:pPr>
      <w:r>
        <w:t>3.3. Cross-study transfer</w:t>
      </w:r>
    </w:p>
    <w:p>
      <w:pPr>
        <w:spacing w:after="120" w:line="259" w:lineRule="auto"/>
      </w:pPr>
      <w: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spacing w:after="120" w:line="259" w:lineRule="auto"/>
      </w:pPr>
      <w: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pPr>
      <w:r>
        <w:t>3.4.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pPr>
      <w:r>
        <w:t>3.5. Interpretation against the research questions</w:t>
      </w:r>
    </w:p>
    <w:p>
      <w:pPr>
        <w:spacing w:after="120" w:line="259" w:lineRule="auto"/>
      </w:pPr>
      <w: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pPr>
      <w: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r>
        <w:rPr>
          <w:b/>
          <w:color w:val="1F4E79"/>
          <w:u w:val="single"/>
        </w:rPr>
        <w:t xml:space="preserve">Table 2. </w:t>
      </w:r>
      <w:r>
        <w:rPr>
          <w:color w:val="1F4E79"/>
          <w:u w:val="single"/>
        </w:rP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color w:val="1F4E79"/>
          <w:u w:val="single"/>
        </w:rPr>
        <w:t xml:space="preserve">Table 3. </w:t>
      </w:r>
      <w:r>
        <w:rPr>
          <w:color w:val="1F4E79"/>
          <w:u w:val="single"/>
        </w:rP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color w:val="1F4E79"/>
          <w:u w:val="single"/>
        </w:rPr>
        <w:t xml:space="preserve">Table 4. </w:t>
      </w:r>
      <w:r>
        <w:rPr>
          <w:color w:val="1F4E79"/>
          <w:u w:val="single"/>
        </w:rP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color w:val="1F4E79"/>
          <w:u w:val="single"/>
        </w:rPr>
        <w:t xml:space="preserve">Table 5. </w:t>
      </w:r>
      <w:r>
        <w:rPr>
          <w:color w:val="1F4E79"/>
          <w:u w:val="single"/>
        </w:rP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color w:val="1F4E79"/>
          <w:u w:val="single"/>
        </w:rPr>
        <w:t xml:space="preserve">Table 6. </w:t>
      </w:r>
      <w:r>
        <w:rPr>
          <w:color w:val="1F4E79"/>
          <w:u w:val="single"/>
        </w:rP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ind w:left="0" w:right="0"/>
        <w:jc w:val="center"/>
      </w:pPr>
      <w:r>
        <w:drawing>
          <wp:inline xmlns:a="http://schemas.openxmlformats.org/drawingml/2006/main" xmlns:pic="http://schemas.openxmlformats.org/drawingml/2006/picture">
            <wp:extent cx="5212080" cy="3097693"/>
            <wp:docPr id="2" name="Picture 2"/>
            <wp:cNvGraphicFramePr>
              <a:graphicFrameLocks noChangeAspect="1"/>
            </wp:cNvGraphicFramePr>
            <a:graphic>
              <a:graphicData uri="http://schemas.openxmlformats.org/drawingml/2006/picture">
                <pic:pic>
                  <pic:nvPicPr>
                    <pic:cNvPr id="0" name="lood_rmse.png"/>
                    <pic:cNvPicPr/>
                  </pic:nvPicPr>
                  <pic:blipFill>
                    <a:blip r:embed="rId10"/>
                    <a:stretch>
                      <a:fillRect/>
                    </a:stretch>
                  </pic:blipFill>
                  <pic:spPr>
                    <a:xfrm>
                      <a:off x="0" y="0"/>
                      <a:ext cx="5212080" cy="3097693"/>
                    </a:xfrm>
                    <a:prstGeom prst="rect"/>
                  </pic:spPr>
                </pic:pic>
              </a:graphicData>
            </a:graphic>
          </wp:inline>
        </w:drawing>
      </w:r>
    </w:p>
    <w:p>
      <w:pPr>
        <w:ind w:left="0" w:right="0"/>
        <w:jc w:val="center"/>
      </w:pPr>
      <w:r>
        <w:rPr>
          <w:color w:val="1F4E79"/>
          <w:u w:val="single"/>
        </w:rPr>
        <w:t>Figure 2. High-level leave-one-dataset-out comparison. This figure summarizes the cross-study transfer stress test; it is not a cross-dataset ranking of RMSE difficulty.</w:t>
      </w:r>
    </w:p>
    <w:p>
      <w:pPr>
        <w:ind w:left="0" w:right="0"/>
        <w:jc w:val="center"/>
      </w:pPr>
      <w:r>
        <w:drawing>
          <wp:inline xmlns:a="http://schemas.openxmlformats.org/drawingml/2006/main" xmlns:pic="http://schemas.openxmlformats.org/drawingml/2006/picture">
            <wp:extent cx="5212080" cy="2907398"/>
            <wp:docPr id="3" name="Picture 3"/>
            <wp:cNvGraphicFramePr>
              <a:graphicFrameLocks noChangeAspect="1"/>
            </wp:cNvGraphicFramePr>
            <a:graphic>
              <a:graphicData uri="http://schemas.openxmlformats.org/drawingml/2006/picture">
                <pic:pic>
                  <pic:nvPicPr>
                    <pic:cNvPr id="0" name="modality_conflict.png"/>
                    <pic:cNvPicPr/>
                  </pic:nvPicPr>
                  <pic:blipFill>
                    <a:blip r:embed="rId11"/>
                    <a:stretch>
                      <a:fillRect/>
                    </a:stretch>
                  </pic:blipFill>
                  <pic:spPr>
                    <a:xfrm>
                      <a:off x="0" y="0"/>
                      <a:ext cx="5212080" cy="2907398"/>
                    </a:xfrm>
                    <a:prstGeom prst="rect"/>
                  </pic:spPr>
                </pic:pic>
              </a:graphicData>
            </a:graphic>
          </wp:inline>
        </w:drawing>
      </w:r>
    </w:p>
    <w:p>
      <w:pPr>
        <w:ind w:left="0" w:right="0"/>
        <w:jc w:val="center"/>
      </w:pPr>
      <w:r>
        <w:rPr>
          <w:color w:val="1F4E79"/>
          <w:u w:val="single"/>
        </w:rPr>
        <w:t>Figure 3. Fusion-minus-expression contrast and modality conflict. Negative fusion deltas favor fusion within the corresponding fold; values are not comparable across response scales.</w:t>
      </w:r>
    </w:p>
    <w:p>
      <w:pPr>
        <w:ind w:left="0" w:right="0"/>
        <w:jc w:val="center"/>
      </w:pPr>
      <w:r>
        <w:drawing>
          <wp:inline xmlns:a="http://schemas.openxmlformats.org/drawingml/2006/main" xmlns:pic="http://schemas.openxmlformats.org/drawingml/2006/picture">
            <wp:extent cx="5212080" cy="3318102"/>
            <wp:docPr id="4" name="Picture 4"/>
            <wp:cNvGraphicFramePr>
              <a:graphicFrameLocks noChangeAspect="1"/>
            </wp:cNvGraphicFramePr>
            <a:graphic>
              <a:graphicData uri="http://schemas.openxmlformats.org/drawingml/2006/picture">
                <pic:pic>
                  <pic:nvPicPr>
                    <pic:cNvPr id="0" name="figure_3c_modality_availability.png"/>
                    <pic:cNvPicPr/>
                  </pic:nvPicPr>
                  <pic:blipFill>
                    <a:blip r:embed="rId12"/>
                    <a:stretch>
                      <a:fillRect/>
                    </a:stretch>
                  </pic:blipFill>
                  <pic:spPr>
                    <a:xfrm>
                      <a:off x="0" y="0"/>
                      <a:ext cx="5212080" cy="3318102"/>
                    </a:xfrm>
                    <a:prstGeom prst="rect"/>
                  </pic:spPr>
                </pic:pic>
              </a:graphicData>
            </a:graphic>
          </wp:inline>
        </w:drawing>
      </w:r>
    </w:p>
    <w:p>
      <w:pPr>
        <w:ind w:left="0" w:right="0"/>
        <w:jc w:val="center"/>
      </w:pPr>
      <w:r>
        <w:rPr>
          <w:color w:val="1F4E79"/>
          <w:u w:val="single"/>
        </w:rPr>
        <w:t>Figure 4. Outer-join modality availability. This supports the missingness analysis and is not a performance metric.</w:t>
      </w:r>
    </w:p>
    <w:p>
      <w:pPr>
        <w:pStyle w:val="Heading1"/>
        <w:keepNext/>
      </w:pPr>
      <w:r>
        <w:t>4. Discussion</w:t>
      </w:r>
    </w:p>
    <w:p>
      <w:pPr>
        <w:spacing w:after="120" w:line="259" w:lineRule="auto"/>
      </w:pPr>
      <w: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pPr>
      <w: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pPr>
      <w: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pPr>
      <w: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pPr>
      <w: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only three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pPr>
      <w: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pPr>
      <w: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pPr>
      <w: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pPr>
      <w: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pPr>
      <w:r>
        <w:rPr>
          <w:color w:val="1F4E79"/>
          <w:u w:val="single"/>
        </w:rP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1 and the detailed decision audit in the Supplementary Material.</w:t>
      </w:r>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pPr>
      <w: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pPr>
      <w: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pPr>
      <w:r>
        <w:t>6. Data and code availability</w:t>
      </w:r>
    </w:p>
    <w:p>
      <w:pPr>
        <w:spacing w:after="120" w:line="259" w:lineRule="auto"/>
      </w:pPr>
      <w: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t>[14] Partin A, et al. Benchmarking community drug response prediction models: datasets, models, tools, and metrics for cross-dataset generalization analysis. Brief Bioinform. 2026;27(1):bbaf667. doi:10.1093/bib/bbaf667.</w:t>
      </w:r>
    </w:p>
    <w:p>
      <w:r>
        <w:t>[15] Bernett J, et al. Critical evaluation of drug response prediction models with DrEval. Nat Commun. 2026;17:4238. doi:10.1038/s41467-026-72903-w.</w:t>
      </w:r>
    </w:p>
    <w:p>
      <w:r>
        <w:t>[16] Carli F, et al. CellHit: a web server to predict and analyze cancer patients’ drug responsiveness. Nucleic Acids Res. 2025;53(W1):W143-W150. doi:10.1093/nar/gkaf414.</w:t>
      </w:r>
    </w:p>
    <w:p>
      <w:r>
        <w:t>[17] Wang Q, et al. scDrugMap: benchmarking large foundation models for drug response prediction. Nat Commun. 2026;17:730. doi:10.1038/s41467-025-67481-2.</w:t>
      </w:r>
    </w:p>
    <w:p>
      <w:r>
        <w:t>[18] Automated real-world data integration improves cancer outcome prediction. Nature. 2024;629:123-131. doi:10.1038/s41586-024-08167-5.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color w:val="1F4E79"/>
          <w:u w:val="single"/>
        </w:rPr>
        <w:t xml:space="preserve">Table 7. </w:t>
      </w:r>
      <w:r>
        <w:rPr>
          <w:color w:val="1F4E79"/>
          <w:u w:val="single"/>
        </w:rP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 = 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color w:val="1F4E79"/>
          <w:u w:val="single"/>
        </w:rPr>
        <w:t xml:space="preserve">Table 8. </w:t>
      </w:r>
      <w:r>
        <w:rPr>
          <w:color w:val="1F4E79"/>
          <w:u w:val="single"/>
        </w:rP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color w:val="1F4E79"/>
          <w:u w:val="single"/>
        </w:rPr>
        <w:t xml:space="preserve">Table 9. </w:t>
      </w:r>
      <w:r>
        <w:rPr>
          <w:color w:val="1F4E79"/>
          <w:u w:val="single"/>
        </w:rP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S3.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CTD²,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p>
      <w:r>
        <w:br w:type="page"/>
      </w:r>
    </w:p>
    <w:p>
      <w:pPr>
        <w:pStyle w:val="Heading1"/>
      </w:pPr>
      <w:r>
        <w:t>Revision marking legend</w:t>
      </w:r>
      <w:r>
        <w:t>This marked version identifies added or substantially revised paragraphs in blue underlined text. The integrated figures and tables are included here because the editorial office requested a complete manuscript file. The clean manuscript is the authoritative version.</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