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360"/>
        <w:jc w:val="both"/>
        <w:rPr/>
      </w:pPr>
      <w:r>
        <w:rPr>
          <w:rFonts w:ascii="Arial" w:hAnsi="Arial"/>
          <w:b/>
          <w:color w:val="000000"/>
          <w:sz w:val="28"/>
        </w:rPr>
        <w:t>Cover Letter</w:t>
      </w:r>
    </w:p>
    <w:p>
      <w:pPr>
        <w:pStyle w:val="Normal"/>
        <w:jc w:val="both"/>
        <w:rPr/>
      </w:pPr>
      <w:r>
        <w:rPr>
          <w:rFonts w:ascii="Arial" w:hAnsi="Arial"/>
          <w:color w:val="000000"/>
        </w:rPr>
        <w:t>Dear Editors,</w:t>
      </w:r>
    </w:p>
    <w:p>
      <w:pPr>
        <w:pStyle w:val="Normal"/>
        <w:jc w:val="both"/>
        <w:rPr/>
      </w:pPr>
      <w:r>
        <w:t>I submit “When More Omics Is Not Always Better: Drug- and Dataset-Conditional Value of Multimodal Cancer Pharmacogenomics” as a Research Article. The study evaluates multimodal information fusion for cancer drug-response prediction using a declared 15-compound universe spanning GDSC1, GDSC2, and CTD².</w:t>
      </w:r>
    </w:p>
    <w:p>
      <w:pPr>
        <w:pStyle w:val="Normal"/>
        <w:jc w:val="both"/>
        <w:rPr/>
      </w:pPr>
      <w:r>
        <w:rPr>
          <w:rFonts w:ascii="Arial" w:hAnsi="Arial"/>
          <w:color w:val="000000"/>
        </w:rPr>
        <w:t>The manuscript fits Journal of Pharmaceutical and BioTech Industry (JPBI) because it studies feature-level fusion in an imperfect and incomplete biomedical environment, with explicit attention to missingness, redundancy, algorithmic comparison, and cross-source transfer. The central finding is that fusion is conditional: it produced a small mean improvement across five full-universe drug-held-out splits, favored fusion in three splits and expression in two, and was slightly worse in all three leave-one-dataset-out folds.</w:t>
      </w:r>
    </w:p>
    <w:p>
      <w:pPr>
        <w:pStyle w:val="Normal"/>
        <w:jc w:val="both"/>
        <w:rPr/>
      </w:pPr>
      <w:r>
        <w:rPr>
          <w:rFonts w:ascii="Arial" w:hAnsi="Arial"/>
          <w:color w:val="000000"/>
        </w:rPr>
        <w:t>State of the art: the study is positioned against CCLE/GDSC pharmacogenomic resources, multimodal drug-response methods including MOLI, and machine-learning benchmarks of multi-omics integration [Barretina et al., 2012; Iorio et al., 2016; Tsherniak et al., 2017; Azuaje, 2017; Sharifi-Noghabi et al., 2019; Cai et al., 2022]. The contribution is evaluation design and evidence-bounded comparison, not a claim of a new deep-learning architecture.</w:t>
      </w:r>
    </w:p>
    <w:p>
      <w:pPr>
        <w:pStyle w:val="Normal"/>
        <w:jc w:val="both"/>
        <w:rPr/>
      </w:pPr>
      <w:r>
        <w:rPr>
          <w:rFonts w:ascii="Arial" w:hAnsi="Arial"/>
          <w:color w:val="000000"/>
        </w:rPr>
        <w:t>Public datasets: we used DepMap response and molecular releases for GDSC1, GDSC2, and CTD², with release identifiers and checksums recorded in the repository. Raw files are not redistributed.</w:t>
      </w:r>
    </w:p>
    <w:p>
      <w:pPr>
        <w:pStyle w:val="Normal"/>
        <w:jc w:val="both"/>
        <w:rPr/>
      </w:pPr>
      <w:r>
        <w:rPr>
          <w:rFonts w:ascii="Arial" w:hAnsi="Arial"/>
          <w:color w:val="000000"/>
        </w:rPr>
        <w:t>Declarations: the study received no external funding; the author declares no competing interests; ethics approval is not applicable because the study uses publicly available de-identified cell-line and molecular data with no human participants, patient intervention, or animal experimentation. DepMap data are acknowledged and cited according to the provider’s guidance.</w:t>
      </w:r>
    </w:p>
    <w:p>
      <w:pPr>
        <w:pStyle w:val="Normal"/>
        <w:jc w:val="both"/>
        <w:rPr/>
      </w:pPr>
      <w:r>
        <w:rPr>
          <w:rFonts w:ascii="Arial" w:hAnsi="Arial"/>
          <w:color w:val="000000"/>
        </w:rPr>
        <w:t>Validation: we report RMSE and MAE, drug-grouped held-out splits across five seeds, fold-local feature selection, leave-one-dataset-out validation, structured missingness strata, and modality redundancy summaries.</w:t>
      </w:r>
    </w:p>
    <w:p>
      <w:pPr>
        <w:pStyle w:val="Normal"/>
        <w:jc w:val="both"/>
        <w:rPr/>
      </w:pPr>
      <w:r>
        <w:rPr>
          <w:rFonts w:ascii="Arial" w:hAnsi="Arial"/>
          <w:color w:val="000000"/>
        </w:rPr>
        <w:t>Main claim and significance: adding modalities should be judged by incremental value and transferability rather than dimensionality alone. The finding that fusion fails under cross-study transfer is relevant to information-fusion systems operating across heterogeneous sources.</w:t>
      </w:r>
    </w:p>
    <w:p>
      <w:pPr>
        <w:pStyle w:val="Normal"/>
        <w:jc w:val="both"/>
        <w:rPr/>
      </w:pPr>
      <w:r>
        <w:t>All formal splits, feature-selection rules, derived result tables, figures, tests, and an identical reproducibility rerun are versioned in the repository. The manuscript limits claims to the declared 15-compound universe and identifies the lack of broad same-drug cross-study replication as a limitation. The immutable reproducibility archive is available at https://doi.org/10.5281/zenodo.23054361.</w:t>
      </w:r>
    </w:p>
    <w:p>
      <w:pPr>
        <w:pStyle w:val="Normal"/>
        <w:jc w:val="both"/>
        <w:rPr/>
      </w:pPr>
      <w:r>
        <w:t>This manuscript has not been published previously and is not under consideration elsewhere. I am submitting a non-anonymized manuscript and do not request reviewer blinding.</w:t>
      </w:r>
    </w:p>
    <w:p>
      <w:pPr>
        <w:pStyle w:val="Normal"/>
        <w:spacing w:before="0" w:after="160"/>
        <w:jc w:val="both"/>
        <w:rPr/>
      </w:pPr>
      <w:r>
        <w:rPr>
          <w:rFonts w:ascii="Arial" w:hAnsi="Arial"/>
          <w:color w:val="000000"/>
        </w:rPr>
        <w:t>Sincerely,</w:t>
        <w:br/>
        <w:br/>
        <w:t>Carlos Victor Montefusco-Pereira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9" w:before="0" w:after="160"/>
      <w:jc w:val="start"/>
    </w:pPr>
    <w:rPr>
      <w:rFonts w:ascii="Arial" w:hAnsi="Arial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6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6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6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6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6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6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6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6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6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6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LibreOffice/26.2.1.2$MacOSX_AARCH64 LibreOffice_project/8399f6259d8c87f40e7255cdb3c9b958f5e08948</Application>
  <AppVersion>15.0000</AppVersion>
  <Pages>1</Pages>
  <Words>386</Words>
  <Characters>2503</Characters>
  <CharactersWithSpaces>2874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2026-08-31T19:32:41Z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