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widowControl/>
        <w:bidi w:val="0"/>
        <w:ind w:hanging="0" w:start="0" w:end="0"/>
        <w:jc w:val="both"/>
        <w:rPr>
          <w:rFonts w:ascii="Arial" w:hAnsi="Arial"/>
          <w:sz w:val="24"/>
          <w:szCs w:val="24"/>
        </w:rPr>
      </w:pPr>
      <w:r>
        <w:rPr>
          <w:rFonts w:ascii="Arial" w:hAnsi="Arial"/>
          <w:b/>
          <w:sz w:val="24"/>
          <w:szCs w:val="24"/>
        </w:rPr>
        <w:t>Response to Reviewers</w:t>
      </w:r>
    </w:p>
    <w:p>
      <w:pPr>
        <w:pStyle w:val="Normal"/>
        <w:widowControl/>
        <w:bidi w:val="0"/>
        <w:ind w:hanging="0" w:start="0" w:end="0"/>
        <w:jc w:val="both"/>
        <w:rPr>
          <w:rFonts w:ascii="Arial" w:hAnsi="Arial"/>
          <w:sz w:val="24"/>
          <w:szCs w:val="24"/>
        </w:rPr>
      </w:pPr>
      <w:r>
        <w:rPr>
          <w:rFonts w:ascii="Arial" w:hAnsi="Arial"/>
          <w:b/>
          <w:sz w:val="24"/>
          <w:szCs w:val="24"/>
        </w:rPr>
        <w:t>Journal of Pharmaceutical and BioTech Industry</w:t>
        <w:br/>
        <w:t>Manuscript ID: jpbi-4567094</w:t>
        <w:br/>
      </w:r>
      <w:r>
        <w:rPr>
          <w:rFonts w:ascii="Arial" w:hAnsi="Arial"/>
          <w:sz w:val="24"/>
          <w:szCs w:val="24"/>
        </w:rPr>
        <w:t>Title: Multimodal Cancer Drug-Response Prediction Shows Small, Validation-Dependent Gains in a 15-Compound DepMap Benchmark</w:t>
      </w:r>
    </w:p>
    <w:p>
      <w:pPr>
        <w:pStyle w:val="Normal"/>
        <w:widowControl/>
        <w:bidi w:val="0"/>
        <w:ind w:hanging="0" w:start="0" w:end="0"/>
        <w:jc w:val="both"/>
        <w:rPr>
          <w:rFonts w:ascii="Arial" w:hAnsi="Arial"/>
          <w:sz w:val="24"/>
          <w:szCs w:val="24"/>
        </w:rPr>
      </w:pPr>
      <w:r>
        <w:rPr>
          <w:rFonts w:ascii="Arial" w:hAnsi="Arial"/>
          <w:sz w:val="24"/>
          <w:szCs w:val="24"/>
        </w:rPr>
        <w:t>Dear Editor and Reviewers,</w:t>
      </w:r>
    </w:p>
    <w:p>
      <w:pPr>
        <w:pStyle w:val="Normal"/>
        <w:widowControl/>
        <w:bidi w:val="0"/>
        <w:ind w:hanging="0" w:start="0" w:end="0"/>
        <w:jc w:val="both"/>
        <w:rPr>
          <w:rFonts w:ascii="Arial" w:hAnsi="Arial"/>
          <w:sz w:val="24"/>
          <w:szCs w:val="24"/>
        </w:rPr>
      </w:pPr>
      <w:r>
        <w:t>I thank the editor and reviewers for their careful and constructive assessment. I revised the manuscript toward a narrower and more reproducible claim. The study is now explicitly framed as a fixed Ridge early-fusion benchmark using cell-line molecular features, not as a general drug-aware prediction framework. I clarified dataset and mutation provenance, softened LOOD interpretation, expanded uncertainty and compound-level reporting, simplified the main figures, and strengthened the reproducibility statement. The code and derived artifacts are now publicly archived at https://doi.org/10.5281/zenodo.23054361.</w:t>
      </w:r>
    </w:p>
    <w:p>
      <w:pPr>
        <w:pStyle w:val="Normal"/>
        <w:widowControl/>
        <w:bidi w:val="0"/>
        <w:ind w:hanging="0" w:start="0" w:end="0"/>
        <w:jc w:val="both"/>
        <w:rPr>
          <w:rFonts w:ascii="Arial" w:hAnsi="Arial"/>
          <w:sz w:val="24"/>
          <w:szCs w:val="24"/>
        </w:rPr>
      </w:pPr>
      <w:r>
        <w:rPr>
          <w:rFonts w:ascii="Arial" w:hAnsi="Arial"/>
          <w:sz w:val="24"/>
          <w:szCs w:val="24"/>
        </w:rPr>
        <w:t>Line references below refer to the accompanying line-numbered clean-manuscript file, jpbi_clean_manuscript_line_numbered.txt. Table and figure numbers refer to the revised clean manuscript. The marked version uses blue underlining for added or substantially revised paragraphs; the clean manuscript is the authoritative version.</w:t>
      </w:r>
    </w:p>
    <w:p>
      <w:pPr>
        <w:pStyle w:val="Heading1"/>
        <w:widowControl/>
        <w:bidi w:val="0"/>
        <w:ind w:hanging="0" w:start="0" w:end="0"/>
        <w:jc w:val="both"/>
        <w:rPr>
          <w:rFonts w:ascii="Arial" w:hAnsi="Arial"/>
          <w:sz w:val="24"/>
          <w:szCs w:val="24"/>
        </w:rPr>
      </w:pPr>
      <w:r>
        <w:rPr>
          <w:rFonts w:ascii="Arial" w:hAnsi="Arial"/>
          <w:sz w:val="24"/>
          <w:szCs w:val="24"/>
        </w:rPr>
        <w:t>Reviewer 1</w:t>
      </w:r>
    </w:p>
    <w:p>
      <w:pPr>
        <w:pStyle w:val="Heading2"/>
        <w:widowControl/>
        <w:bidi w:val="0"/>
        <w:ind w:hanging="0" w:start="0" w:end="0"/>
        <w:jc w:val="both"/>
        <w:rPr>
          <w:rFonts w:ascii="Arial" w:hAnsi="Arial"/>
          <w:sz w:val="24"/>
          <w:szCs w:val="24"/>
        </w:rPr>
      </w:pPr>
      <w:r>
        <w:rPr>
          <w:rFonts w:ascii="Arial" w:hAnsi="Arial"/>
          <w:sz w:val="24"/>
          <w:szCs w:val="24"/>
        </w:rPr>
        <w:t>Comment 1: Dataset description and response-scale comparability</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datasets are insufficiently described. Please report the AUC distributions, scales, sample sizes, feature numbers, and missingness patterns for each dataset. Because response scales differ across GDSC1, GDSC2, and CTD², RMSE values are not directly comparable.</w:t>
      </w:r>
    </w:p>
    <w:p>
      <w:pPr>
        <w:pStyle w:val="Normal"/>
        <w:widowControl/>
        <w:bidi w:val="0"/>
        <w:ind w:hanging="0" w:start="0" w:end="0"/>
        <w:jc w:val="both"/>
        <w:rPr>
          <w:rFonts w:ascii="Arial" w:hAnsi="Arial"/>
          <w:sz w:val="24"/>
          <w:szCs w:val="24"/>
        </w:rPr>
      </w:pPr>
      <w:r>
        <w:t>Response: I added a dataset-characterization table reporting the selected compounds, response rows, unique cell lines, AUC minimum, quartiles, median, maximum, raw feature counts, and modality coverage for GDSC1, GDSC2, and CTD². I now state that source-specific response values are retained without cross-dataset rescaling and that RMSE and MAE are interpreted within dataset and validation fold, not used to rank cross-dataset difficulty. See clean manuscript lines 22-29 and Table 1. I also separated the tables from the manuscript file for submission and retained the machine-readable dataset-characterization artifact in the public release. This makes the response-scale limitation explicit rather than implying that a pooled RMSE compares assay systems on a common scale.</w:t>
      </w:r>
    </w:p>
    <w:p>
      <w:pPr>
        <w:pStyle w:val="Heading2"/>
        <w:widowControl/>
        <w:bidi w:val="0"/>
        <w:ind w:hanging="0" w:start="0" w:end="0"/>
        <w:jc w:val="both"/>
        <w:rPr>
          <w:rFonts w:ascii="Arial" w:hAnsi="Arial"/>
          <w:sz w:val="24"/>
          <w:szCs w:val="24"/>
        </w:rPr>
      </w:pPr>
      <w:r>
        <w:rPr>
          <w:rFonts w:ascii="Arial" w:hAnsi="Arial"/>
          <w:sz w:val="24"/>
          <w:szCs w:val="24"/>
        </w:rPr>
        <w:t>Comment 2: LOOD confounding</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leave-one-dataset-out analysis is confounded by simultaneous differences in dataset source, drugs, cell lines, assay protocols, and response scales. Therefore, poorer fusion performance cannot be attributed solely to multimodal integration.</w:t>
      </w:r>
    </w:p>
    <w:p>
      <w:pPr>
        <w:pStyle w:val="Normal"/>
        <w:widowControl/>
        <w:bidi w:val="0"/>
        <w:ind w:hanging="0" w:start="0" w:end="0"/>
        <w:jc w:val="both"/>
        <w:rPr>
          <w:rFonts w:ascii="Arial" w:hAnsi="Arial"/>
          <w:sz w:val="24"/>
          <w:szCs w:val="24"/>
        </w:rPr>
      </w:pPr>
      <w:r>
        <w:t>Response: I agree. The LOOD interpretation now states that source, compounds, cell lines, assay procedures, response construction, response scale, and modality availability change simultaneously. LOOD is described as a portability stress test of the complete pipeline, not as a causal test of multimodal integration. See clean manuscript lines 60-61 and 70-71. The revised text therefore treats the LOOD result as evidence about transfer of the complete data and modeling pipeline. It does not identify multimodal integration as the cause of any degradation, and I removed wording that could be read as a causal attribution.</w:t>
      </w:r>
    </w:p>
    <w:p>
      <w:pPr>
        <w:pStyle w:val="Heading2"/>
        <w:widowControl/>
        <w:bidi w:val="0"/>
        <w:ind w:hanging="0" w:start="0" w:end="0"/>
        <w:jc w:val="both"/>
        <w:rPr>
          <w:rFonts w:ascii="Arial" w:hAnsi="Arial"/>
          <w:sz w:val="24"/>
          <w:szCs w:val="24"/>
        </w:rPr>
      </w:pPr>
      <w:r>
        <w:rPr>
          <w:rFonts w:ascii="Arial" w:hAnsi="Arial"/>
          <w:sz w:val="24"/>
          <w:szCs w:val="24"/>
        </w:rPr>
        <w:t>Comment 3: Modeling pipeline details and unseen drugs</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modeling pipeline needs clearer details, including compound selection, cell-line matching, mutation encoding, feature selection, imputation, and parameter choice. The authors should also explain how predictions for unseen drugs are possible without drug-related features.</w:t>
      </w:r>
    </w:p>
    <w:p>
      <w:pPr>
        <w:pStyle w:val="Normal"/>
        <w:widowControl/>
        <w:bidi w:val="0"/>
        <w:ind w:hanging="0" w:start="0" w:end="0"/>
        <w:jc w:val="both"/>
        <w:rPr>
          <w:rFonts w:ascii="Arial" w:hAnsi="Arial"/>
          <w:sz w:val="24"/>
          <w:szCs w:val="24"/>
        </w:rPr>
      </w:pPr>
      <w:r>
        <w:t>Response: I expanded the Methods to describe compound inclusion, depmap_id matching, provider-supplied damaging-mutation encoding, fold-local variance selection, training-fold median imputation, training-fold standardization, and fixed Ridge alpha=1.0. I also state that the model has no drug identity, structure, target, dose, or mechanism features; therefore the drug-held-out analysis is a limited transfer stress test within the declared universe, not arbitrary unseen-drug prediction. See clean manuscript lines 24-45. The revised Methods also state how rows were joined, how unmatched cell lines were handled, which operations were fit only on training rows, and why alpha was fixed. I added the absence of drug descriptors as a design limitation rather than presenting the analysis as conventional prediction for a chemically novel compound.</w:t>
      </w:r>
    </w:p>
    <w:p>
      <w:pPr>
        <w:pStyle w:val="Heading2"/>
        <w:widowControl/>
        <w:bidi w:val="0"/>
        <w:ind w:hanging="0" w:start="0" w:end="0"/>
        <w:jc w:val="both"/>
        <w:rPr>
          <w:rFonts w:ascii="Arial" w:hAnsi="Arial"/>
          <w:sz w:val="24"/>
          <w:szCs w:val="24"/>
        </w:rPr>
      </w:pPr>
      <w:r>
        <w:rPr>
          <w:rFonts w:ascii="Arial" w:hAnsi="Arial"/>
          <w:sz w:val="24"/>
          <w:szCs w:val="24"/>
        </w:rPr>
        <w:t>Comment 4: Figures, tables, and metric interpretation</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presentation of figures and tables is disorganized and insufficiently integrated into the main narrative. Several displays are redundant or confusingly arranged, for example Figures 1–3, and some are not adequately introduced or discussed in the main text. The reported metrics receive only limited interpretation, making it difficult to connect the results to the central research questions, Q1–Q3, the validation design, and the study’s conclusions.</w:t>
      </w:r>
    </w:p>
    <w:p>
      <w:pPr>
        <w:pStyle w:val="Normal"/>
        <w:widowControl/>
        <w:bidi w:val="0"/>
        <w:ind w:hanging="0" w:start="0" w:end="0"/>
        <w:jc w:val="both"/>
        <w:rPr>
          <w:rFonts w:ascii="Arial" w:hAnsi="Arial"/>
          <w:sz w:val="24"/>
          <w:szCs w:val="24"/>
        </w:rPr>
      </w:pPr>
      <w:r>
        <w:t>Response: I reorganized the display logic around the estimands. The main figures now provide a compact LOOD summary, a fusion-minus-expression/conflict view, and a modality-availability diagnostic. Redundant modality-resolved and fold-level figures are retained individually as supplementary outputs rather than repeated in the main sequence. A dedicated Q1-Q3 interpretation subsection links each metric to its validation design. See clean manuscript lines 67-68 and Figures 1-4. I also corrected the figure numbering and supplied each main figure as an individual PNG file. The manuscript references the displays in the order Figure 1 decision framework, Figure 2 transfer overview, Figure 3 fusion contrast and conflict, and Figure 4 availability; tables are supplied separately as a Word file.</w:t>
      </w:r>
    </w:p>
    <w:p>
      <w:pPr>
        <w:pStyle w:val="Heading2"/>
        <w:widowControl/>
        <w:bidi w:val="0"/>
        <w:ind w:hanging="0" w:start="0" w:end="0"/>
        <w:jc w:val="both"/>
        <w:rPr>
          <w:rFonts w:ascii="Arial" w:hAnsi="Arial"/>
          <w:sz w:val="24"/>
          <w:szCs w:val="24"/>
        </w:rPr>
      </w:pPr>
      <w:r>
        <w:rPr>
          <w:rFonts w:ascii="Arial" w:hAnsi="Arial"/>
          <w:sz w:val="24"/>
          <w:szCs w:val="24"/>
        </w:rPr>
        <w:t>Core reproducibility requirements</w:t>
      </w:r>
    </w:p>
    <w:p>
      <w:pPr>
        <w:pStyle w:val="Normal"/>
        <w:widowControl/>
        <w:bidi w:val="0"/>
        <w:ind w:hanging="0" w:start="0" w:end="0"/>
        <w:jc w:val="both"/>
        <w:rPr>
          <w:rFonts w:ascii="Arial" w:hAnsi="Arial"/>
          <w:sz w:val="24"/>
          <w:szCs w:val="24"/>
        </w:rPr>
      </w:pPr>
      <w:r>
        <w:t>Response: I added an executable workflow description, cross-dataset alignment rules, release identifiers, environment specification, repository URL, split and feature-manifest inventory, and regeneration scripts. The repository is https://github.com/camontefusco/more-omics-is-not-always-better. Raw provider files remain subject to their access terms. See clean manuscript lines 89-90 and 107-119. The final public archive is now available at https://doi.org/10.5281/zenodo.23054361 and is linked to GitHub release v1.0.1-jpbi-zenodo. The release is immutable and includes the final code, tests, manifests, frozen results, figures, manuscript files, and environment specification; provider data remain excluded.</w:t>
      </w:r>
    </w:p>
    <w:p>
      <w:pPr>
        <w:pStyle w:val="Heading1"/>
        <w:widowControl/>
        <w:bidi w:val="0"/>
        <w:ind w:hanging="0" w:start="0" w:end="0"/>
        <w:jc w:val="both"/>
        <w:rPr>
          <w:rFonts w:ascii="Arial" w:hAnsi="Arial"/>
          <w:sz w:val="24"/>
          <w:szCs w:val="24"/>
        </w:rPr>
      </w:pPr>
      <w:r>
        <w:rPr>
          <w:rFonts w:ascii="Arial" w:hAnsi="Arial"/>
          <w:sz w:val="24"/>
          <w:szCs w:val="24"/>
        </w:rPr>
        <w:t>Reviewer 2</w:t>
      </w:r>
    </w:p>
    <w:p>
      <w:pPr>
        <w:pStyle w:val="Heading2"/>
        <w:widowControl/>
        <w:bidi w:val="0"/>
        <w:ind w:hanging="0" w:start="0" w:end="0"/>
        <w:jc w:val="both"/>
        <w:rPr>
          <w:rFonts w:ascii="Arial" w:hAnsi="Arial"/>
          <w:sz w:val="24"/>
          <w:szCs w:val="24"/>
        </w:rPr>
      </w:pPr>
      <w:r>
        <w:rPr>
          <w:rFonts w:ascii="Arial" w:hAnsi="Arial"/>
          <w:sz w:val="24"/>
          <w:szCs w:val="24"/>
        </w:rPr>
        <w:t>Comment 1: Clarify the knowledge gap</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Introduction provides a good rationale for the study, but the specific knowledge gap could be stated more clearly. I would suggest giving a more focused overview of previous studies addressing whether mutation and copy-number data actually improve prediction beyond expression-only models, particularly in external or cross-dataset validation. This would make it easier to see what this study adds to the existing literature.</w:t>
      </w:r>
    </w:p>
    <w:p>
      <w:pPr>
        <w:pStyle w:val="Normal"/>
        <w:widowControl/>
        <w:bidi w:val="0"/>
        <w:ind w:hanging="0" w:start="0" w:end="0"/>
        <w:jc w:val="both"/>
        <w:rPr>
          <w:rFonts w:ascii="Arial" w:hAnsi="Arial"/>
          <w:sz w:val="24"/>
          <w:szCs w:val="24"/>
        </w:rPr>
      </w:pPr>
      <w:r>
        <w:t>Response: I added a focused Introduction paragraph reviewing expression-only baselines, multimodal studies such as MOLI and DrugCell, and the uncertainty about whether mutation and copy-number add stable value beyond expression under external or cross-dataset validation. I explain how feature budgets, learners, response definitions, and split units limit direct comparison. See clean manuscript lines 12-20. I then state the narrower contribution: a controlled comparison of one expression-only baseline and one early-fusion Ridge construction under grouped drug-held-out and source-held-out evaluation. I do not claim to resolve the broader literature question for all learners, drug-aware models, or datasets.</w:t>
      </w:r>
    </w:p>
    <w:p>
      <w:pPr>
        <w:pStyle w:val="Heading2"/>
        <w:widowControl/>
        <w:bidi w:val="0"/>
        <w:ind w:hanging="0" w:start="0" w:end="0"/>
        <w:jc w:val="both"/>
        <w:rPr>
          <w:rFonts w:ascii="Arial" w:hAnsi="Arial"/>
          <w:sz w:val="24"/>
          <w:szCs w:val="24"/>
        </w:rPr>
      </w:pPr>
      <w:r>
        <w:rPr>
          <w:rFonts w:ascii="Arial" w:hAnsi="Arial"/>
          <w:sz w:val="24"/>
          <w:szCs w:val="24"/>
        </w:rPr>
        <w:t>Comment 2: Compound-selection criteria</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Methods are generally clear, but I believe that several choices need more explanation. It is not clear how the 15 compounds were selected. Since all subsequent analyses are based on this relatively small set, the selection criteria should be explicitly described.</w:t>
      </w:r>
    </w:p>
    <w:p>
      <w:pPr>
        <w:pStyle w:val="Normal"/>
        <w:widowControl/>
        <w:bidi w:val="0"/>
        <w:ind w:hanging="0" w:start="0" w:end="0"/>
        <w:jc w:val="both"/>
        <w:rPr>
          <w:rFonts w:ascii="Arial" w:hAnsi="Arial"/>
          <w:sz w:val="24"/>
          <w:szCs w:val="24"/>
        </w:rPr>
      </w:pPr>
      <w:r>
        <w:t>Response: I state that the benchmark used a predeclared source-balanced subset of five compounds per source. Inclusion required exact source identifiers, sufficient response records, and consistent cell-line/molecular matching; compounds absent or inconsistently matched were excluded, and no selection was changed after performance inspection. I also compare the subset with the broader source-level drug counts and state that it is not representative of the full drug universe. See clean manuscript lines 24 and 30-31, and Supplementary Table S1. I now identify the exact source-balanced design as a pragmatic benchmark construction rather than a random sample of available compounds. The manuscript reports the resulting coverage and explicitly warns that the 15-compound universe limits external generalization.</w:t>
      </w:r>
    </w:p>
    <w:p>
      <w:pPr>
        <w:pStyle w:val="Heading2"/>
        <w:widowControl/>
        <w:bidi w:val="0"/>
        <w:ind w:hanging="0" w:start="0" w:end="0"/>
        <w:jc w:val="both"/>
        <w:rPr>
          <w:rFonts w:ascii="Arial" w:hAnsi="Arial"/>
          <w:sz w:val="24"/>
          <w:szCs w:val="24"/>
        </w:rPr>
      </w:pPr>
      <w:r>
        <w:rPr>
          <w:rFonts w:ascii="Arial" w:hAnsi="Arial"/>
          <w:sz w:val="24"/>
          <w:szCs w:val="24"/>
        </w:rPr>
        <w:t>Comment 3: Damaging-mutation matrix</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More detail is needed on how the damaging-mutation matrix was generated, including which variants were included, how they were classified and encoded, and how missing mutation data were handled.</w:t>
      </w:r>
    </w:p>
    <w:p>
      <w:pPr>
        <w:pStyle w:val="Normal"/>
        <w:widowControl/>
        <w:bidi w:val="0"/>
        <w:ind w:hanging="0" w:start="0" w:end="0"/>
        <w:jc w:val="both"/>
        <w:rPr>
          <w:rFonts w:ascii="Arial" w:hAnsi="Arial"/>
          <w:sz w:val="24"/>
          <w:szCs w:val="24"/>
        </w:rPr>
      </w:pPr>
      <w:r>
        <w:t>Response: I clarify that the matrix was taken from DepMap Public 26Q1, “Damaging Mutations (Public 26Q1),” rather than reconstructed from raw variant calls. Gene-level columns and source-defined damaging classifications were retained; missing values were not treated as benign, and remaining missing selected values were imputed only with training-fold medians. No variant reclassification or new pathogenicity model was performed. See clean manuscript lines 33-36. This distinction prevents the analysis from silently converting unknown mutation status into a negative mutation call. The same rule is applied consistently across modalities and folds, and the supplementary material records the provenance and missingness handling.</w:t>
      </w:r>
    </w:p>
    <w:p>
      <w:pPr>
        <w:pStyle w:val="Heading2"/>
        <w:widowControl/>
        <w:bidi w:val="0"/>
        <w:ind w:hanging="0" w:start="0" w:end="0"/>
        <w:jc w:val="both"/>
        <w:rPr>
          <w:rFonts w:ascii="Arial" w:hAnsi="Arial"/>
          <w:sz w:val="24"/>
          <w:szCs w:val="24"/>
        </w:rPr>
      </w:pPr>
      <w:r>
        <w:rPr>
          <w:rFonts w:ascii="Arial" w:hAnsi="Arial"/>
          <w:sz w:val="24"/>
          <w:szCs w:val="24"/>
        </w:rPr>
        <w:t>Comment 4: Complete leave-one-drug-out analysis</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drug-held-out analysis could also be more systematic. Only eight of the 15 compounds appear in the held-out sets across the five splits. Given the small number of compounds, a leave-one-drug-out analysis across all 15 could provide a clearer view of model performance for individual drugs and different mechanisms of action.</w:t>
      </w:r>
    </w:p>
    <w:p>
      <w:pPr>
        <w:pStyle w:val="Normal"/>
        <w:widowControl/>
        <w:bidi w:val="0"/>
        <w:ind w:hanging="0" w:start="0" w:end="0"/>
        <w:jc w:val="both"/>
        <w:rPr>
          <w:rFonts w:ascii="Arial" w:hAnsi="Arial"/>
          <w:sz w:val="24"/>
          <w:szCs w:val="24"/>
        </w:rPr>
      </w:pPr>
      <w:r>
        <w:t>Response: I clarified that the five grouped splits cover eight unique compounds and are not a complete 15-drug leave-one-out design. The existing per-drug audit is explicitly descriptive. Complete leave-one-drug-out validation across all 15 compounds, with reliable mechanism strata, is identified as future work rather than implied to have been performed. See clean manuscript lines 45-46, 70, and 115-119. I retained the existing five split manifests because they are the prespecified benchmark actually analyzed, but I no longer describe them as exhaustive leave-one-drug-out validation. I state that a complete 15-drug design would be a stronger future analysis and would require a separate frozen manifest.</w:t>
      </w:r>
    </w:p>
    <w:p>
      <w:pPr>
        <w:pStyle w:val="Heading2"/>
        <w:widowControl/>
        <w:bidi w:val="0"/>
        <w:ind w:hanging="0" w:start="0" w:end="0"/>
        <w:jc w:val="both"/>
        <w:rPr>
          <w:rFonts w:ascii="Arial" w:hAnsi="Arial"/>
          <w:sz w:val="24"/>
          <w:szCs w:val="24"/>
        </w:rPr>
      </w:pPr>
      <w:r>
        <w:rPr>
          <w:rFonts w:ascii="Arial" w:hAnsi="Arial"/>
          <w:sz w:val="24"/>
          <w:szCs w:val="24"/>
        </w:rPr>
        <w:t>Comment 5: Individual drug effects and variability</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differences between fusion and expression-only models are very small, so the magnitude and variability of these effects should be shown more clearly. Reporting the results for individual drugs would help to put these differences into context.</w:t>
      </w:r>
    </w:p>
    <w:p>
      <w:pPr>
        <w:pStyle w:val="Normal"/>
        <w:widowControl/>
        <w:bidi w:val="0"/>
        <w:ind w:hanging="0" w:start="0" w:end="0"/>
        <w:jc w:val="both"/>
        <w:rPr>
          <w:rFonts w:ascii="Arial" w:hAnsi="Arial"/>
          <w:sz w:val="24"/>
          <w:szCs w:val="24"/>
        </w:rPr>
      </w:pPr>
      <w:r>
        <w:t>Response: I added paired drug-group summaries: 15 drug-seed cells, eight unique compounds, mean fusion-minus-expression RMSE −0.0009, sample SD 0.0019, median −0.0019, IQR −0.0023 to 0.0006, range −0.0031 to +0.0022, with fusion favorable in 11 cells and unfavorable in four. Individual compound values are reported in the Results and machine-readable summary. These are empirical variability summaries, not independent confidence intervals. See clean manuscript lines 56-60. These summaries are paired within the same drug and seed, so they show the size and direction of observed differences without treating repeated partitions as independent biological experiments. I also explain that the small average difference should not be converted into a claim of stable superiority.</w:t>
      </w:r>
    </w:p>
    <w:p>
      <w:pPr>
        <w:pStyle w:val="Heading2"/>
        <w:widowControl/>
        <w:bidi w:val="0"/>
        <w:ind w:hanging="0" w:start="0" w:end="0"/>
        <w:jc w:val="both"/>
        <w:rPr>
          <w:rFonts w:ascii="Arial" w:hAnsi="Arial"/>
          <w:sz w:val="24"/>
          <w:szCs w:val="24"/>
        </w:rPr>
      </w:pPr>
      <w:r>
        <w:rPr>
          <w:rFonts w:ascii="Arial" w:hAnsi="Arial"/>
          <w:sz w:val="24"/>
          <w:szCs w:val="24"/>
        </w:rPr>
        <w:t>Comment 6: Redundant figures</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Some figures seem redundant. Figures 1 and 3A show very similar results, as do Figures 2 and 3B, and could be combined or simplified.</w:t>
      </w:r>
    </w:p>
    <w:p>
      <w:pPr>
        <w:pStyle w:val="Normal"/>
        <w:widowControl/>
        <w:bidi w:val="0"/>
        <w:ind w:hanging="0" w:start="0" w:end="0"/>
        <w:jc w:val="both"/>
        <w:rPr>
          <w:rFonts w:ascii="Arial" w:hAnsi="Arial"/>
          <w:sz w:val="24"/>
          <w:szCs w:val="24"/>
        </w:rPr>
      </w:pPr>
      <w:r>
        <w:t>Response: I simplified the main display set. Figure 1 is the compact LOOD summary, Figure 2 the signed fusion contrast/conflict view, and Figure 3 the availability diagnostic. The former modality-resolved and fold-level figures remain individual supplementary files. See clean manuscript lines 67-68. This removes the previous duplication and makes the visual sequence match the manuscript narrative. The supplementary files preserve detail without forcing the reader to interpret several versions of the same comparison in the main text.</w:t>
      </w:r>
    </w:p>
    <w:p>
      <w:pPr>
        <w:pStyle w:val="Heading2"/>
        <w:widowControl/>
        <w:bidi w:val="0"/>
        <w:ind w:hanging="0" w:start="0" w:end="0"/>
        <w:jc w:val="both"/>
        <w:rPr>
          <w:rFonts w:ascii="Arial" w:hAnsi="Arial"/>
          <w:sz w:val="24"/>
          <w:szCs w:val="24"/>
        </w:rPr>
      </w:pPr>
      <w:r>
        <w:rPr>
          <w:rFonts w:ascii="Arial" w:hAnsi="Arial"/>
          <w:sz w:val="24"/>
          <w:szCs w:val="24"/>
        </w:rPr>
        <w:t>Comment 7: Soften H2 and LOOD language</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Discussion is generally cautious, but some statements could be softened. In particular, saying that H2 was ‘supported’ or referring to ‘consistent cross-study degradation’ may be too strong, since both the dataset and compound composition change in the leave-one-dataset-out analysis.</w:t>
      </w:r>
    </w:p>
    <w:p>
      <w:pPr>
        <w:pStyle w:val="Normal"/>
        <w:widowControl/>
        <w:bidi w:val="0"/>
        <w:ind w:hanging="0" w:start="0" w:end="0"/>
        <w:jc w:val="both"/>
        <w:rPr>
          <w:rFonts w:ascii="Arial" w:hAnsi="Arial"/>
          <w:sz w:val="24"/>
          <w:szCs w:val="24"/>
        </w:rPr>
      </w:pPr>
      <w:r>
        <w:t>Response: I replaced “H2 was supported” and “consistent cross-study degradation” with language describing a less favorable fusion contrast in the observed source-held-out setting. I explicitly state that this is not a causal or general law because multiple dataset properties change simultaneously. See clean manuscript lines 69-85. The revised wording now says that fusion was less favorable in the observed source-held-out folds, while acknowledging that the comparison changes the source, compounds, cell lines, assay context, and response scale together.</w:t>
      </w:r>
    </w:p>
    <w:p>
      <w:pPr>
        <w:pStyle w:val="Heading2"/>
        <w:widowControl/>
        <w:bidi w:val="0"/>
        <w:ind w:hanging="0" w:start="0" w:end="0"/>
        <w:jc w:val="both"/>
        <w:rPr>
          <w:rFonts w:ascii="Arial" w:hAnsi="Arial"/>
          <w:sz w:val="24"/>
          <w:szCs w:val="24"/>
        </w:rPr>
      </w:pPr>
      <w:r>
        <w:rPr>
          <w:rFonts w:ascii="Arial" w:hAnsi="Arial"/>
          <w:sz w:val="24"/>
          <w:szCs w:val="24"/>
        </w:rPr>
        <w:t>Comment 8: Biological and drug-specific discussion</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I would also like to see more discussion of the biological and drug-specific findings. Since the title emphasizes ‘drug-conditional’ value, it would be interesting to discuss whether the benefit of additional omics differs between drugs or mechanisms of action. Finally, the Discussion could be shortened, as some of the main findings are repeated several times.</w:t>
      </w:r>
    </w:p>
    <w:p>
      <w:pPr>
        <w:pStyle w:val="Normal"/>
        <w:widowControl/>
        <w:bidi w:val="0"/>
        <w:ind w:hanging="0" w:start="0" w:end="0"/>
        <w:jc w:val="both"/>
        <w:rPr>
          <w:rFonts w:ascii="Arial" w:hAnsi="Arial"/>
          <w:sz w:val="24"/>
          <w:szCs w:val="24"/>
        </w:rPr>
      </w:pPr>
      <w:r>
        <w:t>Response: I added a concise compound-level discussion. ACY-1215 and DACOMITINIB had the largest favorable mean deltas in the observed audit, while GSK1059615 and STAUROSPORINE had unfavorable mean deltas. I state that these are descriptive and do not establish mechanism-of-action effects because there is no drug-aware input, no complete 15-drug LODO analysis, and no formal mechanism-stratified test. See clean manuscript lines 75-85. I also added the practical interpretation that a compound-specific difference can motivate follow-up investigation or assay prioritization, but cannot by itself identify a mechanism or justify a biomarker claim. Repeated effects across a larger, drug-aware and mechanism-annotated universe remain necessary.</w:t>
      </w:r>
    </w:p>
    <w:p>
      <w:pPr>
        <w:pStyle w:val="Heading1"/>
        <w:widowControl/>
        <w:bidi w:val="0"/>
        <w:ind w:hanging="0" w:start="0" w:end="0"/>
        <w:jc w:val="both"/>
        <w:rPr>
          <w:rFonts w:ascii="Arial" w:hAnsi="Arial"/>
          <w:sz w:val="24"/>
          <w:szCs w:val="24"/>
        </w:rPr>
      </w:pPr>
      <w:r>
        <w:rPr>
          <w:rFonts w:ascii="Arial" w:hAnsi="Arial"/>
          <w:sz w:val="24"/>
          <w:szCs w:val="24"/>
        </w:rPr>
        <w:t>Reviewer 3</w:t>
      </w:r>
    </w:p>
    <w:p>
      <w:pPr>
        <w:pStyle w:val="Heading2"/>
        <w:widowControl/>
        <w:bidi w:val="0"/>
        <w:ind w:hanging="0" w:start="0" w:end="0"/>
        <w:jc w:val="both"/>
        <w:rPr>
          <w:rFonts w:ascii="Arial" w:hAnsi="Arial"/>
          <w:sz w:val="24"/>
          <w:szCs w:val="24"/>
        </w:rPr>
      </w:pPr>
      <w:r>
        <w:rPr>
          <w:rFonts w:ascii="Arial" w:hAnsi="Arial"/>
          <w:sz w:val="24"/>
          <w:szCs w:val="24"/>
        </w:rPr>
        <w:t>Comment 1: No drug-specific features</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proposed models use only cell-line molecular features, including expression, copy number, and mutation, but do not incorporate any drug-specific information such as chemical structure, molecular fingerprints, drug targets, mechanism of action, or other drug representations. Consequently, when a drug is held out, the model has no information indicating which particular drug is being predicted. The current experiment therefore appears to evaluate whether relationships between cell-line molecular profiles and general drug-response patterns can generalize across the selected drug universe, rather than conventional prediction of responses to previously unseen compounds. This distinction is important because the manuscript repeatedly interprets the drug-held-out analysis in terms of prediction for unseen drugs. The authors should reconsider the definition of the corresponding estimand and revise the terminology and interpretation accordingly. Alternatively, a drug-aware modeling framework incorporating drug-specific features would be needed to substantiate a stronger claim regarding unseen-drug prediction.</w:t>
      </w:r>
    </w:p>
    <w:p>
      <w:pPr>
        <w:pStyle w:val="Normal"/>
        <w:widowControl/>
        <w:bidi w:val="0"/>
        <w:ind w:hanging="0" w:start="0" w:end="0"/>
        <w:jc w:val="both"/>
        <w:rPr>
          <w:rFonts w:ascii="Arial" w:hAnsi="Arial"/>
          <w:sz w:val="24"/>
          <w:szCs w:val="24"/>
        </w:rPr>
      </w:pPr>
      <w:r>
        <w:t>Response: I revised the estimand and terminology throughout. The model uses only cell-line molecular features and cannot learn a drug-specific response function in the usual sense. Drug-held-out validation is now described as transfer of a cell-line-only relationship to held-out records within the declared universe. Drug-aware modeling is explicitly future work. See clean manuscript lines 37, 60-61, 70, 74, and 85. I also added explicit non-use statements: the results should not be used to predict an arbitrary new drug, select patient treatment, make causal claims about mutation or copy-number biology, or replace experimental validation. A drug-aware framework with chemical, target, or mechanism features is identified as future work.</w:t>
      </w:r>
    </w:p>
    <w:p>
      <w:pPr>
        <w:pStyle w:val="Heading2"/>
        <w:widowControl/>
        <w:bidi w:val="0"/>
        <w:ind w:hanging="0" w:start="0" w:end="0"/>
        <w:jc w:val="both"/>
        <w:rPr>
          <w:rFonts w:ascii="Arial" w:hAnsi="Arial"/>
          <w:sz w:val="24"/>
          <w:szCs w:val="24"/>
        </w:rPr>
      </w:pPr>
      <w:r>
        <w:rPr>
          <w:rFonts w:ascii="Arial" w:hAnsi="Arial"/>
          <w:sz w:val="24"/>
          <w:szCs w:val="24"/>
        </w:rPr>
        <w:t>Comment 2: Compound subset and generalizability</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manuscript includes five compounds from each of GDSC1, GDSC2, and CTD², but the rationale and criteria used to select these compounds are not sufficiently described. Because the main conclusions are based on this particular subset, the observed fusion effects may be highly dependent on the composition of these 15 compounds. This is particularly important given the heterogeneity of drug mechanisms, response distributions, and cell-line coverage across pharmacogenomic datasets. The authors should provide explicit inclusion and exclusion criteria for the compound selection and, if possible, compare the selected compounds with the broader available drug universe in terms of response distributions, molecular characteristics, and cell-line coverage. A substantially larger drug set would provide stronger evidence regarding the generalizability of the reported findings.</w:t>
      </w:r>
    </w:p>
    <w:p>
      <w:pPr>
        <w:pStyle w:val="Normal"/>
        <w:widowControl/>
        <w:bidi w:val="0"/>
        <w:ind w:hanging="0" w:start="0" w:end="0"/>
        <w:jc w:val="both"/>
        <w:rPr>
          <w:rFonts w:ascii="Arial" w:hAnsi="Arial"/>
          <w:sz w:val="24"/>
          <w:szCs w:val="24"/>
        </w:rPr>
      </w:pPr>
      <w:r>
        <w:t>Response: I added explicit selection criteria, broader source-level drug counts, selected response counts, and the limitation that the subset is pragmatic and non-representative. See clean manuscript lines 24 and 30-31, and Supplementary Table S1. I now connect this limitation to the interpretation of every aggregate result: the reported effect is conditional on the selected 15 compounds, their response distributions, and their available cell lines. I did not extend the claims to the full GDSC or CTD² drug universes.</w:t>
      </w:r>
    </w:p>
    <w:p>
      <w:pPr>
        <w:pStyle w:val="Heading2"/>
        <w:widowControl/>
        <w:bidi w:val="0"/>
        <w:ind w:hanging="0" w:start="0" w:end="0"/>
        <w:jc w:val="both"/>
        <w:rPr>
          <w:rFonts w:ascii="Arial" w:hAnsi="Arial"/>
          <w:sz w:val="24"/>
          <w:szCs w:val="24"/>
        </w:rPr>
      </w:pPr>
      <w:r>
        <w:rPr>
          <w:rFonts w:ascii="Arial" w:hAnsi="Arial"/>
          <w:sz w:val="24"/>
          <w:szCs w:val="24"/>
        </w:rPr>
        <w:t>Comment 3: Small fusion effect and uncertainty</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improvement reported by multimodal fusion is the very small magnitude. The mean RMSE is 0.2322 for fusion and 0.2328 for expression alone, corresponding to a difference of only −0.0006. Moreover, fusion improves performance in only three of the five repeated splits and performs worse in two splits. Although the authors appropriately avoid making formal statistical significance claims from these repeated partitions, the current analysis provides limited evidence that the small average improvement represents a stable effect. Additional uncertainty assessment would therefore be valuable. In particular, the authors should report the paired fusion-versus-expression differences for each held-out drug or drug group and provide an appropriate measure of variability around the estimated effect. More extensive repeated grouped cross-validation would also strengthen the assessment of whether the observed improvement is reproducible.</w:t>
      </w:r>
    </w:p>
    <w:p>
      <w:pPr>
        <w:pStyle w:val="Normal"/>
        <w:widowControl/>
        <w:bidi w:val="0"/>
        <w:ind w:hanging="0" w:start="0" w:end="0"/>
        <w:jc w:val="both"/>
        <w:rPr>
          <w:rFonts w:ascii="Arial" w:hAnsi="Arial"/>
          <w:sz w:val="24"/>
          <w:szCs w:val="24"/>
        </w:rPr>
      </w:pPr>
      <w:r>
        <w:t>Response: I added paired compound-level effect summaries and report their empirical variability, while avoiding formal significance claims because drug-seed cells are not independent. More extensive repeated grouped validation and complete LODO are identified as future work. See clean manuscript lines 56-60, 70, and 115-119. I report the direction across the observed drug-seed cells and explain why this is descriptive uncertainty rather than a confidence interval for a population effect. The manuscript now treats more extensive repeated grouped validation as a necessary next step, not as an analysis already completed.</w:t>
      </w:r>
    </w:p>
    <w:p>
      <w:pPr>
        <w:pStyle w:val="Heading2"/>
        <w:widowControl/>
        <w:bidi w:val="0"/>
        <w:ind w:hanging="0" w:start="0" w:end="0"/>
        <w:jc w:val="both"/>
        <w:rPr>
          <w:rFonts w:ascii="Arial" w:hAnsi="Arial"/>
          <w:sz w:val="24"/>
          <w:szCs w:val="24"/>
        </w:rPr>
      </w:pPr>
      <w:r>
        <w:rPr>
          <w:rFonts w:ascii="Arial" w:hAnsi="Arial"/>
          <w:sz w:val="24"/>
          <w:szCs w:val="24"/>
        </w:rPr>
        <w:t>Comment 4: 2,000 versus 6,000 feature budget</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expression model uses the top 2,000 selected features, whereas the fusion model uses 2,000 features from each of the three modalities, resulting in a total of 6,000 features. Both models use the same Ridge penalty (alpha=1). Thus, adding modalities simultaneously changes the available information and the dimensionality and effective regularization regime of the model. The observed difference therefore cannot necessarily be attributed solely to the incremental information provided by copy-number and mutation features. The authors should consider sensitivity analyses with independently tuned regularization parameters, equalized total feature budgets, or modality-specific/group-wise regularization. Such analyses would help determine whether the observed fusion effect reflects complementary molecular information or differences in model complexity.</w:t>
      </w:r>
    </w:p>
    <w:p>
      <w:pPr>
        <w:pStyle w:val="Normal"/>
        <w:widowControl/>
        <w:bidi w:val="0"/>
        <w:ind w:hanging="0" w:start="0" w:end="0"/>
        <w:jc w:val="both"/>
        <w:rPr>
          <w:rFonts w:ascii="Arial" w:hAnsi="Arial"/>
          <w:sz w:val="24"/>
          <w:szCs w:val="24"/>
        </w:rPr>
      </w:pPr>
      <w:r>
        <w:t>Response: I now state explicitly that fusion changes both information content and dimensionality under the same alpha=1 penalty. The current comparison is not a pure estimate of biological complementarity. Equalized budgets, tuned regularization, and group-wise penalties are future sensitivity analyses. See clean manuscript lines 37-38, 72, and 82-85. I added this qualification to the interpretation of the primary effect. Thus, the result is about the evaluated model comparison, in which information and feature dimensionality change together, and not a clean decomposition of biological complementarity from model complexity.</w:t>
      </w:r>
    </w:p>
    <w:p>
      <w:pPr>
        <w:pStyle w:val="Heading2"/>
        <w:widowControl/>
        <w:bidi w:val="0"/>
        <w:ind w:hanging="0" w:start="0" w:end="0"/>
        <w:jc w:val="both"/>
        <w:rPr>
          <w:rFonts w:ascii="Arial" w:hAnsi="Arial"/>
          <w:sz w:val="24"/>
          <w:szCs w:val="24"/>
        </w:rPr>
      </w:pPr>
      <w:r>
        <w:rPr>
          <w:rFonts w:ascii="Arial" w:hAnsi="Arial"/>
          <w:sz w:val="24"/>
          <w:szCs w:val="24"/>
        </w:rPr>
        <w:t>Comment 5: Limited Ridge early-fusion baseline</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baseline framework is also relatively limited for a manuscript discussing multimodal pharmacogenomic prediction. The current analysis deliberately uses a fixed Ridge learner and early feature concatenation, which provides a transparent and controlled comparison but does not establish whether the observed behavior is specific to the chosen modeling strategy. The manuscript does not evaluate drug representations, nonlinear learners, late-fusion strategies, modality-specific regularization, or missing-modality-aware approaches. Therefore, the conclusions should be restricted to the evaluated Ridge-based early-fusion framework. Additional drug-aware and alternative fusion baselines would be particularly useful if the authors intend to make broader claims about the conditional value of multimodal pharmacogenomics.</w:t>
      </w:r>
    </w:p>
    <w:p>
      <w:pPr>
        <w:pStyle w:val="Normal"/>
        <w:widowControl/>
        <w:bidi w:val="0"/>
        <w:ind w:hanging="0" w:start="0" w:end="0"/>
        <w:jc w:val="both"/>
        <w:rPr>
          <w:rFonts w:ascii="Arial" w:hAnsi="Arial"/>
          <w:sz w:val="24"/>
          <w:szCs w:val="24"/>
        </w:rPr>
      </w:pPr>
      <w:r>
        <w:t>Response: I restrict conclusions to the fixed Ridge early-fusion construction and list drug representations, nonlinear learners, late fusion, group-wise regularization, modality completion, and missing-modality-aware models as untested alternatives. See clean manuscript lines 37-38, 70-72, and 82-85. I therefore removed broader statements about multimodal pharmacogenomics in general and retained only conclusions supported by this Ridge early-fusion experiment. The Discussion names the untested alternatives as scope limitations and future work.</w:t>
      </w:r>
    </w:p>
    <w:p>
      <w:pPr>
        <w:pStyle w:val="Heading2"/>
        <w:widowControl/>
        <w:bidi w:val="0"/>
        <w:ind w:hanging="0" w:start="0" w:end="0"/>
        <w:jc w:val="both"/>
        <w:rPr>
          <w:rFonts w:ascii="Arial" w:hAnsi="Arial"/>
          <w:sz w:val="24"/>
          <w:szCs w:val="24"/>
        </w:rPr>
      </w:pPr>
      <w:r>
        <w:rPr>
          <w:rFonts w:ascii="Arial" w:hAnsi="Arial"/>
          <w:sz w:val="24"/>
          <w:szCs w:val="24"/>
        </w:rPr>
        <w:t>Comment 6: Accessible reproducibility artifacts</w:t>
      </w:r>
    </w:p>
    <w:p>
      <w:pPr>
        <w:pStyle w:val="Normal"/>
        <w:widowControl/>
        <w:bidi w:val="0"/>
        <w:ind w:hanging="0" w:start="0" w:end="0"/>
        <w:jc w:val="both"/>
        <w:rPr>
          <w:rFonts w:ascii="Arial" w:hAnsi="Arial"/>
          <w:sz w:val="24"/>
          <w:szCs w:val="24"/>
        </w:rPr>
      </w:pPr>
      <w:r>
        <w:rPr>
          <w:rFonts w:ascii="Arial" w:hAnsi="Arial"/>
          <w:b/>
          <w:sz w:val="24"/>
          <w:szCs w:val="24"/>
        </w:rPr>
        <w:t xml:space="preserve">Reviewer comment: </w:t>
      </w:r>
      <w:r>
        <w:rPr>
          <w:rFonts w:ascii="Arial" w:hAnsi="Arial"/>
          <w:sz w:val="24"/>
          <w:szCs w:val="24"/>
        </w:rPr>
        <w:t>The manuscript places substantial emphasis on reproducibility as a contribution, but the reproducibility claims should be supported by directly accessible computational artifacts. The manuscript states that code, manifests, derived results, and reproducibility materials are available in a project repository, but a concrete repository identifier, versioned release, or commit is not provided in the manuscript. Given that the reported results depend on specific data releases, split manifests, feature-selection procedures, preprocessing rules, and software environments, the authors should provide a clearly accessible repository together with a fixed version or commit, environment specification, data-release identifiers, and scripts sufficient to regenerate the main tables and figures. This would be particularly important because the manuscript itself emphasizes preservation of split manifests and preprocessing decisions as essential components of reproducibility.</w:t>
      </w:r>
    </w:p>
    <w:p>
      <w:pPr>
        <w:pStyle w:val="Normal"/>
        <w:widowControl/>
        <w:bidi w:val="0"/>
        <w:ind w:hanging="0" w:start="0" w:end="0"/>
        <w:jc w:val="both"/>
        <w:rPr>
          <w:rFonts w:ascii="Arial" w:hAnsi="Arial"/>
          <w:sz w:val="24"/>
          <w:szCs w:val="24"/>
        </w:rPr>
      </w:pPr>
      <w:r>
        <w:t>Response: I added the concrete repository URL, the immutable GitHub release tag v1.0.1-jpbi-zenodo, and the Zenodo DOI https://doi.org/10.5281/zenodo.23054361. The release contains the data-release identifiers, environment specification, regeneration scripts, split and feature manifests, and machine-readable outputs. Raw provider files remain subject to their access terms. See clean manuscript lines 89-90 and 107-119. The data-availability statement now points to both the working repository and the permanent DOI. I also state that a clean rerun still requires authorized downloads of the named provider releases, so the archive supports reproducibility without claiming that restricted raw matrices are redistributed.</w:t>
      </w:r>
    </w:p>
    <w:p>
      <w:pPr>
        <w:pStyle w:val="Normal"/>
        <w:widowControl/>
        <w:bidi w:val="0"/>
        <w:spacing w:before="0" w:after="200"/>
        <w:ind w:hanging="0" w:start="0" w:end="0"/>
        <w:jc w:val="both"/>
        <w:rPr>
          <w:rFonts w:ascii="Arial" w:hAnsi="Arial"/>
          <w:sz w:val="24"/>
          <w:szCs w:val="24"/>
        </w:rPr>
      </w:pPr>
      <w:r>
        <w:rPr>
          <w:rFonts w:ascii="Arial" w:hAnsi="Arial"/>
          <w:sz w:val="24"/>
          <w:szCs w:val="24"/>
        </w:rPr>
        <w:t>I appreciate the reviewers’ comments, which helped us narrow the estimand, improve methodological transparency, and align the claims with the evidence.</w:t>
      </w:r>
    </w:p>
    <w:sectPr>
      <w:type w:val="nextPage"/>
      <w:pgSz w:w="12240" w:h="15840"/>
      <w:pgMar w:left="1450" w:right="1427"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Arial">
    <w:charset w:val="01"/>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Arial" w:hAnsi="Arial" w:eastAsia="ＭＳ 明朝"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2"/>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3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LibreOffice/26.2.1.2$MacOSX_AARCH64 LibreOffice_project/8399f6259d8c87f40e7255cdb3c9b958f5e08948</Application>
  <AppVersion>15.0000</AppVersion>
  <Pages>9</Pages>
  <Words>3329</Words>
  <Characters>21100</Characters>
  <CharactersWithSpaces>24355</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2026-09-30T13:47:58Z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