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E9" w:rsidRDefault="004D062A" w:rsidP="00BF5FE9">
      <w:pPr>
        <w:pStyle w:val="Title"/>
      </w:pPr>
      <w:r>
        <w:t>Computer Data</w:t>
      </w:r>
    </w:p>
    <w:p w:rsidR="00490802" w:rsidRPr="00490802" w:rsidRDefault="00490802" w:rsidP="00490802">
      <w:pPr>
        <w:pStyle w:val="Subtitle"/>
      </w:pPr>
      <w:r>
        <w:t>Representing Information</w:t>
      </w:r>
    </w:p>
    <w:p w:rsidR="00BF5FE9" w:rsidRPr="00BF5FE9" w:rsidRDefault="00BF5FE9" w:rsidP="00BF5FE9">
      <w:pPr>
        <w:pStyle w:val="Heading1"/>
      </w:pPr>
      <w:bookmarkStart w:id="0" w:name="_Toc432465975"/>
      <w:r>
        <w:t>Contents</w:t>
      </w:r>
      <w:bookmarkEnd w:id="0"/>
    </w:p>
    <w:p w:rsidR="00E6501F" w:rsidRDefault="00BF5FE9">
      <w:pPr>
        <w:pStyle w:val="TOC1"/>
        <w:tabs>
          <w:tab w:val="right" w:leader="dot" w:pos="9350"/>
        </w:tabs>
        <w:rPr>
          <w:noProof/>
          <w:sz w:val="22"/>
          <w:szCs w:val="22"/>
          <w:lang w:eastAsia="en-CA"/>
        </w:rPr>
      </w:pPr>
      <w:r>
        <w:fldChar w:fldCharType="begin"/>
      </w:r>
      <w:r>
        <w:instrText xml:space="preserve"> TOC \o "1-1" \n \h \z \u </w:instrText>
      </w:r>
      <w:r>
        <w:fldChar w:fldCharType="separate"/>
      </w:r>
      <w:hyperlink w:anchor="_Toc432465976" w:history="1">
        <w:r w:rsidR="00E6501F" w:rsidRPr="00F46229">
          <w:rPr>
            <w:rStyle w:val="Hyperlink"/>
            <w:noProof/>
          </w:rPr>
          <w:t>Introduction</w:t>
        </w:r>
      </w:hyperlink>
    </w:p>
    <w:p w:rsidR="00E6501F" w:rsidRDefault="002E0BF7">
      <w:pPr>
        <w:pStyle w:val="TOC1"/>
        <w:tabs>
          <w:tab w:val="right" w:leader="dot" w:pos="9350"/>
        </w:tabs>
        <w:rPr>
          <w:noProof/>
          <w:sz w:val="22"/>
          <w:szCs w:val="22"/>
          <w:lang w:eastAsia="en-CA"/>
        </w:rPr>
      </w:pPr>
      <w:hyperlink w:anchor="_Toc432465977" w:history="1">
        <w:r w:rsidR="00E6501F" w:rsidRPr="00F46229">
          <w:rPr>
            <w:rStyle w:val="Hyperlink"/>
            <w:noProof/>
          </w:rPr>
          <w:t>Submission</w:t>
        </w:r>
      </w:hyperlink>
    </w:p>
    <w:p w:rsidR="00E6501F" w:rsidRDefault="002E0BF7">
      <w:pPr>
        <w:pStyle w:val="TOC1"/>
        <w:tabs>
          <w:tab w:val="right" w:leader="dot" w:pos="9350"/>
        </w:tabs>
        <w:rPr>
          <w:noProof/>
          <w:sz w:val="22"/>
          <w:szCs w:val="22"/>
          <w:lang w:eastAsia="en-CA"/>
        </w:rPr>
      </w:pPr>
      <w:hyperlink w:anchor="_Toc432465978" w:history="1">
        <w:r w:rsidR="00E6501F" w:rsidRPr="00F46229">
          <w:rPr>
            <w:rStyle w:val="Hyperlink"/>
            <w:noProof/>
          </w:rPr>
          <w:t>Task 1: Number System Conversions</w:t>
        </w:r>
      </w:hyperlink>
    </w:p>
    <w:p w:rsidR="00E6501F" w:rsidRDefault="002E0BF7">
      <w:pPr>
        <w:pStyle w:val="TOC1"/>
        <w:tabs>
          <w:tab w:val="right" w:leader="dot" w:pos="9350"/>
        </w:tabs>
        <w:rPr>
          <w:noProof/>
          <w:sz w:val="22"/>
          <w:szCs w:val="22"/>
          <w:lang w:eastAsia="en-CA"/>
        </w:rPr>
      </w:pPr>
      <w:hyperlink w:anchor="_Toc432465979" w:history="1">
        <w:r w:rsidR="00E6501F" w:rsidRPr="00F46229">
          <w:rPr>
            <w:rStyle w:val="Hyperlink"/>
            <w:noProof/>
          </w:rPr>
          <w:t>Task 2: ASCII</w:t>
        </w:r>
      </w:hyperlink>
    </w:p>
    <w:p w:rsidR="00E6501F" w:rsidRDefault="002E0BF7">
      <w:pPr>
        <w:pStyle w:val="TOC1"/>
        <w:tabs>
          <w:tab w:val="right" w:leader="dot" w:pos="9350"/>
        </w:tabs>
        <w:rPr>
          <w:noProof/>
          <w:sz w:val="22"/>
          <w:szCs w:val="22"/>
          <w:lang w:eastAsia="en-CA"/>
        </w:rPr>
      </w:pPr>
      <w:hyperlink w:anchor="_Toc432465980" w:history="1">
        <w:r w:rsidR="00E6501F" w:rsidRPr="00F46229">
          <w:rPr>
            <w:rStyle w:val="Hyperlink"/>
            <w:noProof/>
          </w:rPr>
          <w:t>Task 3: Colour</w:t>
        </w:r>
      </w:hyperlink>
    </w:p>
    <w:p w:rsidR="00BF5FE9" w:rsidRDefault="00BF5FE9" w:rsidP="00BF5FE9">
      <w:pPr>
        <w:pStyle w:val="Heading1"/>
      </w:pPr>
      <w:r>
        <w:fldChar w:fldCharType="end"/>
      </w:r>
      <w:bookmarkStart w:id="1" w:name="_Toc432465976"/>
      <w:r>
        <w:t>Introduction</w:t>
      </w:r>
      <w:bookmarkEnd w:id="1"/>
    </w:p>
    <w:p w:rsidR="00BF5FE9" w:rsidRPr="00510767" w:rsidRDefault="00BF5FE9" w:rsidP="00BF5FE9">
      <w:r>
        <w:t xml:space="preserve">At the lowest level, all computer data is expressed as </w:t>
      </w:r>
      <w:r w:rsidRPr="00663DE6">
        <w:rPr>
          <w:b/>
        </w:rPr>
        <w:t>binary</w:t>
      </w:r>
      <w:r>
        <w:t xml:space="preserve">. </w:t>
      </w:r>
      <w:r w:rsidRPr="00663DE6">
        <w:t>Binary</w:t>
      </w:r>
      <w:r>
        <w:t xml:space="preserve"> numbers are typically expressed using only 0 and 1, making it a </w:t>
      </w:r>
      <w:r>
        <w:rPr>
          <w:b/>
        </w:rPr>
        <w:t xml:space="preserve">base 2 </w:t>
      </w:r>
      <w:r>
        <w:t xml:space="preserve">numeral system. In contrast, the counting system we are most familiar with (decimal) is </w:t>
      </w:r>
      <w:r>
        <w:rPr>
          <w:b/>
        </w:rPr>
        <w:t>base 10</w:t>
      </w:r>
      <w:r>
        <w:t>, using the numbers 0 to 9. Subscript can be used to specify what base a written number is in. For example, 128</w:t>
      </w:r>
      <w:r>
        <w:rPr>
          <w:vertAlign w:val="subscript"/>
        </w:rPr>
        <w:t>10</w:t>
      </w:r>
      <w:r>
        <w:t xml:space="preserve"> (base 10) is equal to 1000,0000</w:t>
      </w:r>
      <w:r w:rsidRPr="00510767">
        <w:rPr>
          <w:vertAlign w:val="subscript"/>
        </w:rPr>
        <w:t>2</w:t>
      </w:r>
      <w:r>
        <w:t xml:space="preserve"> (base 2).</w:t>
      </w:r>
    </w:p>
    <w:p w:rsidR="00BF5FE9" w:rsidRDefault="00BF5FE9" w:rsidP="00BF5FE9">
      <w:r>
        <w:t xml:space="preserve">A single binary digit of information is known as a </w:t>
      </w:r>
      <w:r>
        <w:rPr>
          <w:b/>
        </w:rPr>
        <w:t>bit</w:t>
      </w:r>
      <w:r>
        <w:t>. 8 bits (which cover the values 0 to 255</w:t>
      </w:r>
      <w:r w:rsidRPr="00510767">
        <w:rPr>
          <w:vertAlign w:val="subscript"/>
        </w:rPr>
        <w:t>10</w:t>
      </w:r>
      <w:r>
        <w:t xml:space="preserve">) are known as a </w:t>
      </w:r>
      <w:r>
        <w:rPr>
          <w:b/>
        </w:rPr>
        <w:t>byte</w:t>
      </w:r>
      <w:r>
        <w:t xml:space="preserve">. As you may recall from Lab 3, we use the </w:t>
      </w:r>
      <w:r>
        <w:rPr>
          <w:b/>
        </w:rPr>
        <w:t>kilo</w:t>
      </w:r>
      <w:r>
        <w:t xml:space="preserve">, </w:t>
      </w:r>
      <w:r>
        <w:rPr>
          <w:b/>
        </w:rPr>
        <w:t>mega</w:t>
      </w:r>
      <w:r>
        <w:t xml:space="preserve">, </w:t>
      </w:r>
      <w:proofErr w:type="spellStart"/>
      <w:r>
        <w:rPr>
          <w:b/>
        </w:rPr>
        <w:t>giga</w:t>
      </w:r>
      <w:proofErr w:type="spellEnd"/>
      <w:r>
        <w:t xml:space="preserve"> prefixes to represent 1024 (2</w:t>
      </w:r>
      <w:r>
        <w:rPr>
          <w:vertAlign w:val="superscript"/>
        </w:rPr>
        <w:t>10</w:t>
      </w:r>
      <w:r>
        <w:t>), 1,048,576 (2</w:t>
      </w:r>
      <w:r>
        <w:rPr>
          <w:vertAlign w:val="superscript"/>
        </w:rPr>
        <w:t>20</w:t>
      </w:r>
      <w:r>
        <w:t xml:space="preserve">), and </w:t>
      </w:r>
      <w:r w:rsidRPr="004D062A">
        <w:t>1</w:t>
      </w:r>
      <w:r>
        <w:t>,</w:t>
      </w:r>
      <w:r w:rsidRPr="004D062A">
        <w:t>073</w:t>
      </w:r>
      <w:r>
        <w:t>,</w:t>
      </w:r>
      <w:r w:rsidRPr="004D062A">
        <w:t>741</w:t>
      </w:r>
      <w:r>
        <w:t>,</w:t>
      </w:r>
      <w:r w:rsidRPr="004D062A">
        <w:t>824</w:t>
      </w:r>
      <w:r>
        <w:t xml:space="preserve"> (2</w:t>
      </w:r>
      <w:r>
        <w:rPr>
          <w:vertAlign w:val="superscript"/>
        </w:rPr>
        <w:t>30</w:t>
      </w:r>
      <w:r>
        <w:t xml:space="preserve">) bytes respectively. Modern hard drives are now even measured in the </w:t>
      </w:r>
      <w:r>
        <w:rPr>
          <w:b/>
        </w:rPr>
        <w:t>terabyte</w:t>
      </w:r>
      <w:r>
        <w:t xml:space="preserve"> range, which is </w:t>
      </w:r>
      <w:r w:rsidRPr="004D062A">
        <w:t>1</w:t>
      </w:r>
      <w:r>
        <w:t>,</w:t>
      </w:r>
      <w:r w:rsidRPr="004D062A">
        <w:t>099</w:t>
      </w:r>
      <w:r>
        <w:t>,</w:t>
      </w:r>
      <w:r w:rsidRPr="004D062A">
        <w:t>511</w:t>
      </w:r>
      <w:r>
        <w:t>,</w:t>
      </w:r>
      <w:r w:rsidRPr="004D062A">
        <w:t>627</w:t>
      </w:r>
      <w:r>
        <w:t>,</w:t>
      </w:r>
      <w:r w:rsidRPr="004D062A">
        <w:t>776</w:t>
      </w:r>
      <w:r>
        <w:t xml:space="preserve"> bytes!</w:t>
      </w:r>
    </w:p>
    <w:p w:rsidR="00BE5CD8" w:rsidRDefault="00BF5FE9" w:rsidP="007F15CB">
      <w:r>
        <w:t xml:space="preserve">Since binary numbers can get very long very quickly, we need ways to represent the same numbers with fewer digits. The decimal system is pretty good at this, but </w:t>
      </w:r>
      <w:r>
        <w:rPr>
          <w:b/>
        </w:rPr>
        <w:t>hexadecimal</w:t>
      </w:r>
      <w:r>
        <w:t xml:space="preserve"> is even better. Being </w:t>
      </w:r>
      <w:r>
        <w:rPr>
          <w:b/>
        </w:rPr>
        <w:t>base 16</w:t>
      </w:r>
      <w:r>
        <w:t xml:space="preserve">, hex can represent 16 values for every digit. This means 2 hex digits can represent exactly one byte, making it particularly useful for representing many types of computer data. The letters </w:t>
      </w:r>
      <w:r w:rsidRPr="00510767">
        <w:rPr>
          <w:b/>
        </w:rPr>
        <w:t>A</w:t>
      </w:r>
      <w:r>
        <w:t xml:space="preserve"> to </w:t>
      </w:r>
      <w:r w:rsidRPr="00510767">
        <w:rPr>
          <w:b/>
        </w:rPr>
        <w:t>F</w:t>
      </w:r>
      <w:r>
        <w:t xml:space="preserve"> are used to represent the values 10</w:t>
      </w:r>
      <w:r w:rsidRPr="00510767">
        <w:rPr>
          <w:vertAlign w:val="subscript"/>
        </w:rPr>
        <w:t>10</w:t>
      </w:r>
      <w:r>
        <w:t xml:space="preserve"> to 15</w:t>
      </w:r>
      <w:r w:rsidRPr="00510767">
        <w:rPr>
          <w:vertAlign w:val="subscript"/>
        </w:rPr>
        <w:t>10</w:t>
      </w:r>
      <w:r>
        <w:t>.</w:t>
      </w:r>
    </w:p>
    <w:p w:rsidR="00772A84" w:rsidRDefault="00772A84" w:rsidP="00772A84">
      <w:pPr>
        <w:pStyle w:val="Heading1"/>
      </w:pPr>
      <w:bookmarkStart w:id="2" w:name="_Toc432465977"/>
      <w:r>
        <w:t>Submission</w:t>
      </w:r>
      <w:bookmarkEnd w:id="2"/>
    </w:p>
    <w:p w:rsidR="00772A84" w:rsidRDefault="00772A84">
      <w:r>
        <w:t>Fill in the tables</w:t>
      </w:r>
      <w:r w:rsidR="00490802">
        <w:t xml:space="preserve"> in the tasks below using</w:t>
      </w:r>
      <w:r>
        <w:t xml:space="preserve"> Microsoft Word, then save this file as </w:t>
      </w:r>
      <w:r w:rsidR="002E0BF7">
        <w:rPr>
          <w:b/>
        </w:rPr>
        <w:t>Binary</w:t>
      </w:r>
      <w:bookmarkStart w:id="3" w:name="_GoBack"/>
      <w:bookmarkEnd w:id="3"/>
      <w:r w:rsidRPr="00490802">
        <w:rPr>
          <w:b/>
        </w:rPr>
        <w:t xml:space="preserve">_Firstname_Lastname.docx </w:t>
      </w:r>
      <w:r>
        <w:t xml:space="preserve">(using File &gt; </w:t>
      </w:r>
      <w:r>
        <w:rPr>
          <w:b/>
        </w:rPr>
        <w:t>Save As</w:t>
      </w:r>
      <w:r>
        <w:t>).</w:t>
      </w:r>
      <w:r w:rsidR="00490802">
        <w:t xml:space="preserve"> Submit your</w:t>
      </w:r>
      <w:r w:rsidR="002E0BF7">
        <w:t xml:space="preserve"> completed document to the Lab</w:t>
      </w:r>
      <w:r w:rsidR="00490802">
        <w:t xml:space="preserve"> </w:t>
      </w:r>
      <w:proofErr w:type="spellStart"/>
      <w:r w:rsidR="00490802">
        <w:t>dropbox</w:t>
      </w:r>
      <w:proofErr w:type="spellEnd"/>
      <w:r w:rsidR="00490802">
        <w:t xml:space="preserve"> on D2L.</w:t>
      </w:r>
    </w:p>
    <w:p w:rsidR="00772A84" w:rsidRDefault="00772A84">
      <w:r>
        <w:rPr>
          <w:b/>
        </w:rPr>
        <w:t xml:space="preserve">Note: </w:t>
      </w:r>
      <w:r>
        <w:t xml:space="preserve">This assignment is to be done </w:t>
      </w:r>
      <w:r>
        <w:rPr>
          <w:i/>
        </w:rPr>
        <w:t>individually</w:t>
      </w:r>
      <w:r>
        <w:t>. You can help one another with problems and questions, but in the end everyone must do their own assignment.</w:t>
      </w:r>
    </w:p>
    <w:tbl>
      <w:tblPr>
        <w:tblStyle w:val="TableGrid"/>
        <w:tblW w:w="0" w:type="auto"/>
        <w:jc w:val="center"/>
        <w:tblLook w:val="04A0" w:firstRow="1" w:lastRow="0" w:firstColumn="1" w:lastColumn="0" w:noHBand="0" w:noVBand="1"/>
      </w:tblPr>
      <w:tblGrid>
        <w:gridCol w:w="3307"/>
        <w:gridCol w:w="763"/>
      </w:tblGrid>
      <w:tr w:rsidR="00772A84" w:rsidTr="00E6501F">
        <w:trPr>
          <w:jc w:val="center"/>
        </w:trPr>
        <w:tc>
          <w:tcPr>
            <w:tcW w:w="0" w:type="auto"/>
            <w:shd w:val="clear" w:color="auto" w:fill="BDD6EE" w:themeFill="accent1" w:themeFillTint="66"/>
          </w:tcPr>
          <w:p w:rsidR="00772A84" w:rsidRPr="00E6501F" w:rsidRDefault="00772A84">
            <w:pPr>
              <w:rPr>
                <w:b/>
              </w:rPr>
            </w:pPr>
            <w:r w:rsidRPr="00E6501F">
              <w:rPr>
                <w:b/>
              </w:rPr>
              <w:t>Criteria</w:t>
            </w:r>
          </w:p>
        </w:tc>
        <w:tc>
          <w:tcPr>
            <w:tcW w:w="0" w:type="auto"/>
            <w:shd w:val="clear" w:color="auto" w:fill="BDD6EE" w:themeFill="accent1" w:themeFillTint="66"/>
          </w:tcPr>
          <w:p w:rsidR="00772A84" w:rsidRDefault="00772A84">
            <w:r w:rsidRPr="00E6501F">
              <w:rPr>
                <w:b/>
              </w:rPr>
              <w:t>Marks</w:t>
            </w:r>
          </w:p>
        </w:tc>
      </w:tr>
      <w:tr w:rsidR="00772A84" w:rsidTr="00E6501F">
        <w:trPr>
          <w:jc w:val="center"/>
        </w:trPr>
        <w:tc>
          <w:tcPr>
            <w:tcW w:w="0" w:type="auto"/>
            <w:shd w:val="clear" w:color="auto" w:fill="auto"/>
          </w:tcPr>
          <w:p w:rsidR="00772A84" w:rsidRPr="00E6501F" w:rsidRDefault="00772A84">
            <w:r w:rsidRPr="00E6501F">
              <w:t>Task 1: Number System Conversions</w:t>
            </w:r>
          </w:p>
        </w:tc>
        <w:tc>
          <w:tcPr>
            <w:tcW w:w="0" w:type="auto"/>
          </w:tcPr>
          <w:p w:rsidR="00772A84" w:rsidRDefault="00772A84" w:rsidP="00E6501F">
            <w:pPr>
              <w:jc w:val="right"/>
            </w:pPr>
            <w:r>
              <w:t>12</w:t>
            </w:r>
          </w:p>
        </w:tc>
      </w:tr>
      <w:tr w:rsidR="00772A84" w:rsidTr="00E6501F">
        <w:trPr>
          <w:jc w:val="center"/>
        </w:trPr>
        <w:tc>
          <w:tcPr>
            <w:tcW w:w="0" w:type="auto"/>
            <w:shd w:val="clear" w:color="auto" w:fill="auto"/>
          </w:tcPr>
          <w:p w:rsidR="00772A84" w:rsidRPr="00E6501F" w:rsidRDefault="00772A84">
            <w:r w:rsidRPr="00E6501F">
              <w:t>Task 2: ASCII</w:t>
            </w:r>
          </w:p>
        </w:tc>
        <w:tc>
          <w:tcPr>
            <w:tcW w:w="0" w:type="auto"/>
          </w:tcPr>
          <w:p w:rsidR="00772A84" w:rsidRDefault="00E6501F" w:rsidP="00E6501F">
            <w:pPr>
              <w:jc w:val="right"/>
            </w:pPr>
            <w:r>
              <w:t>10</w:t>
            </w:r>
          </w:p>
        </w:tc>
      </w:tr>
      <w:tr w:rsidR="00772A84" w:rsidTr="00E6501F">
        <w:trPr>
          <w:jc w:val="center"/>
        </w:trPr>
        <w:tc>
          <w:tcPr>
            <w:tcW w:w="0" w:type="auto"/>
            <w:shd w:val="clear" w:color="auto" w:fill="auto"/>
          </w:tcPr>
          <w:p w:rsidR="00772A84" w:rsidRPr="00E6501F" w:rsidRDefault="00772A84">
            <w:r w:rsidRPr="00E6501F">
              <w:t>Task 3: Colour</w:t>
            </w:r>
          </w:p>
        </w:tc>
        <w:tc>
          <w:tcPr>
            <w:tcW w:w="0" w:type="auto"/>
          </w:tcPr>
          <w:p w:rsidR="00772A84" w:rsidRDefault="00772A84" w:rsidP="00E6501F">
            <w:pPr>
              <w:jc w:val="right"/>
            </w:pPr>
            <w:r>
              <w:t>8</w:t>
            </w:r>
          </w:p>
        </w:tc>
      </w:tr>
      <w:tr w:rsidR="00772A84" w:rsidTr="00E6501F">
        <w:trPr>
          <w:jc w:val="center"/>
        </w:trPr>
        <w:tc>
          <w:tcPr>
            <w:tcW w:w="0" w:type="auto"/>
            <w:shd w:val="clear" w:color="auto" w:fill="auto"/>
          </w:tcPr>
          <w:p w:rsidR="00772A84" w:rsidRPr="00E6501F" w:rsidRDefault="00E6501F">
            <w:pPr>
              <w:rPr>
                <w:b/>
              </w:rPr>
            </w:pPr>
            <w:r w:rsidRPr="00E6501F">
              <w:rPr>
                <w:b/>
              </w:rPr>
              <w:t>Total</w:t>
            </w:r>
          </w:p>
        </w:tc>
        <w:tc>
          <w:tcPr>
            <w:tcW w:w="0" w:type="auto"/>
          </w:tcPr>
          <w:p w:rsidR="00772A84" w:rsidRDefault="00E6501F" w:rsidP="00E6501F">
            <w:pPr>
              <w:jc w:val="right"/>
            </w:pPr>
            <w:r>
              <w:t>30</w:t>
            </w:r>
          </w:p>
        </w:tc>
      </w:tr>
    </w:tbl>
    <w:p w:rsidR="00F74A32" w:rsidRDefault="00F74A32" w:rsidP="00F74A32">
      <w:pPr>
        <w:pStyle w:val="Heading1"/>
      </w:pPr>
      <w:bookmarkStart w:id="4" w:name="_Toc432465978"/>
      <w:r>
        <w:lastRenderedPageBreak/>
        <w:t>Task 1: Number System Conversions</w:t>
      </w:r>
      <w:bookmarkEnd w:id="4"/>
    </w:p>
    <w:p w:rsidR="00B15762" w:rsidRDefault="00B15762" w:rsidP="00B15762">
      <w:pPr>
        <w:pStyle w:val="Heading2"/>
      </w:pPr>
      <w:r>
        <w:t>Instructions</w:t>
      </w:r>
    </w:p>
    <w:p w:rsidR="00945ADA" w:rsidRDefault="00B739B0" w:rsidP="00F74A32">
      <w:r>
        <w:t>Fill in the missing table cells</w:t>
      </w:r>
      <w:r w:rsidR="004D062A">
        <w:t xml:space="preserve"> by converting between these 3 numbering systems</w:t>
      </w:r>
      <w:r>
        <w:t>.</w:t>
      </w:r>
    </w:p>
    <w:tbl>
      <w:tblPr>
        <w:tblStyle w:val="TableGrid"/>
        <w:tblW w:w="0" w:type="auto"/>
        <w:jc w:val="center"/>
        <w:tblLook w:val="04A0" w:firstRow="1" w:lastRow="0" w:firstColumn="1" w:lastColumn="0" w:noHBand="0" w:noVBand="1"/>
      </w:tblPr>
      <w:tblGrid>
        <w:gridCol w:w="1063"/>
        <w:gridCol w:w="1305"/>
        <w:gridCol w:w="1547"/>
      </w:tblGrid>
      <w:tr w:rsidR="00F74A32" w:rsidTr="00DB5BB3">
        <w:trPr>
          <w:jc w:val="center"/>
        </w:trPr>
        <w:tc>
          <w:tcPr>
            <w:tcW w:w="0" w:type="auto"/>
            <w:shd w:val="clear" w:color="auto" w:fill="BDD6EE" w:themeFill="accent1" w:themeFillTint="66"/>
          </w:tcPr>
          <w:p w:rsidR="00F74A32" w:rsidRDefault="00F74A32" w:rsidP="00DB5BB3">
            <w:pPr>
              <w:pStyle w:val="monospace"/>
              <w:jc w:val="center"/>
            </w:pPr>
            <w:r>
              <w:t>Decimal</w:t>
            </w:r>
          </w:p>
        </w:tc>
        <w:tc>
          <w:tcPr>
            <w:tcW w:w="0" w:type="auto"/>
            <w:shd w:val="clear" w:color="auto" w:fill="BDD6EE" w:themeFill="accent1" w:themeFillTint="66"/>
          </w:tcPr>
          <w:p w:rsidR="00F74A32" w:rsidRDefault="00F74A32" w:rsidP="00DB5BB3">
            <w:pPr>
              <w:pStyle w:val="monospace"/>
              <w:jc w:val="center"/>
            </w:pPr>
            <w:r>
              <w:t>Binary</w:t>
            </w:r>
          </w:p>
        </w:tc>
        <w:tc>
          <w:tcPr>
            <w:tcW w:w="0" w:type="auto"/>
            <w:shd w:val="clear" w:color="auto" w:fill="BDD6EE" w:themeFill="accent1" w:themeFillTint="66"/>
          </w:tcPr>
          <w:p w:rsidR="00B313FC" w:rsidRDefault="00F74A32" w:rsidP="00DB5BB3">
            <w:pPr>
              <w:pStyle w:val="monospace"/>
              <w:jc w:val="center"/>
            </w:pPr>
            <w:r>
              <w:t>Hex</w:t>
            </w:r>
            <w:r w:rsidR="00B313FC">
              <w:t>adecimal</w:t>
            </w:r>
          </w:p>
        </w:tc>
      </w:tr>
      <w:tr w:rsidR="00F74A32" w:rsidTr="00DB5BB3">
        <w:trPr>
          <w:jc w:val="center"/>
        </w:trPr>
        <w:tc>
          <w:tcPr>
            <w:tcW w:w="0" w:type="auto"/>
            <w:shd w:val="clear" w:color="auto" w:fill="DEEAF6" w:themeFill="accent1" w:themeFillTint="33"/>
          </w:tcPr>
          <w:p w:rsidR="00F74A32" w:rsidRDefault="00F74A32" w:rsidP="003A1BAB">
            <w:pPr>
              <w:pStyle w:val="monospace"/>
            </w:pPr>
            <w:r>
              <w:t>45</w:t>
            </w:r>
          </w:p>
        </w:tc>
        <w:tc>
          <w:tcPr>
            <w:tcW w:w="0" w:type="auto"/>
          </w:tcPr>
          <w:p w:rsidR="00F74A32" w:rsidRDefault="00F74A32" w:rsidP="003A1BAB">
            <w:pPr>
              <w:pStyle w:val="monospace"/>
            </w:pPr>
          </w:p>
        </w:tc>
        <w:tc>
          <w:tcPr>
            <w:tcW w:w="0" w:type="auto"/>
          </w:tcPr>
          <w:p w:rsidR="00F74A32" w:rsidRDefault="00F74A32" w:rsidP="003A1BAB">
            <w:pPr>
              <w:pStyle w:val="monospace"/>
            </w:pPr>
          </w:p>
        </w:tc>
      </w:tr>
      <w:tr w:rsidR="00F74A32" w:rsidTr="00DB5BB3">
        <w:trPr>
          <w:jc w:val="center"/>
        </w:trPr>
        <w:tc>
          <w:tcPr>
            <w:tcW w:w="0" w:type="auto"/>
            <w:shd w:val="clear" w:color="auto" w:fill="DEEAF6" w:themeFill="accent1" w:themeFillTint="33"/>
          </w:tcPr>
          <w:p w:rsidR="00F74A32" w:rsidRDefault="00F74A32" w:rsidP="003A1BAB">
            <w:pPr>
              <w:pStyle w:val="monospace"/>
            </w:pPr>
            <w:r>
              <w:t>255</w:t>
            </w:r>
          </w:p>
        </w:tc>
        <w:tc>
          <w:tcPr>
            <w:tcW w:w="0" w:type="auto"/>
          </w:tcPr>
          <w:p w:rsidR="00F74A32" w:rsidRDefault="00F74A32" w:rsidP="003A1BAB">
            <w:pPr>
              <w:pStyle w:val="monospace"/>
            </w:pPr>
          </w:p>
        </w:tc>
        <w:tc>
          <w:tcPr>
            <w:tcW w:w="0" w:type="auto"/>
          </w:tcPr>
          <w:p w:rsidR="00F74A32" w:rsidRDefault="00F74A32" w:rsidP="003A1BAB">
            <w:pPr>
              <w:pStyle w:val="monospace"/>
            </w:pPr>
          </w:p>
        </w:tc>
      </w:tr>
      <w:tr w:rsidR="00F74A32" w:rsidTr="00DB5BB3">
        <w:trPr>
          <w:jc w:val="center"/>
        </w:trPr>
        <w:tc>
          <w:tcPr>
            <w:tcW w:w="0" w:type="auto"/>
          </w:tcPr>
          <w:p w:rsidR="00F74A32" w:rsidRDefault="00F74A32" w:rsidP="003A1BAB">
            <w:pPr>
              <w:pStyle w:val="monospace"/>
            </w:pPr>
          </w:p>
        </w:tc>
        <w:tc>
          <w:tcPr>
            <w:tcW w:w="0" w:type="auto"/>
            <w:shd w:val="clear" w:color="auto" w:fill="DEEAF6" w:themeFill="accent1" w:themeFillTint="33"/>
          </w:tcPr>
          <w:p w:rsidR="00F74A32" w:rsidRDefault="00945ADA" w:rsidP="003A1BAB">
            <w:pPr>
              <w:pStyle w:val="monospace"/>
            </w:pPr>
            <w:r>
              <w:t>1101</w:t>
            </w:r>
            <w:r w:rsidR="00B739B0">
              <w:t>,</w:t>
            </w:r>
            <w:r>
              <w:t>1101</w:t>
            </w:r>
          </w:p>
        </w:tc>
        <w:tc>
          <w:tcPr>
            <w:tcW w:w="0" w:type="auto"/>
          </w:tcPr>
          <w:p w:rsidR="00F74A32" w:rsidRDefault="00F74A32" w:rsidP="003A1BAB">
            <w:pPr>
              <w:pStyle w:val="monospace"/>
            </w:pPr>
          </w:p>
        </w:tc>
      </w:tr>
      <w:tr w:rsidR="00F74A32" w:rsidTr="00DB5BB3">
        <w:trPr>
          <w:jc w:val="center"/>
        </w:trPr>
        <w:tc>
          <w:tcPr>
            <w:tcW w:w="0" w:type="auto"/>
          </w:tcPr>
          <w:p w:rsidR="00F74A32" w:rsidRDefault="00F74A32" w:rsidP="003A1BAB">
            <w:pPr>
              <w:pStyle w:val="monospace"/>
            </w:pPr>
          </w:p>
        </w:tc>
        <w:tc>
          <w:tcPr>
            <w:tcW w:w="0" w:type="auto"/>
            <w:shd w:val="clear" w:color="auto" w:fill="DEEAF6" w:themeFill="accent1" w:themeFillTint="33"/>
          </w:tcPr>
          <w:p w:rsidR="00F74A32" w:rsidRDefault="00B739B0" w:rsidP="003A1BAB">
            <w:pPr>
              <w:pStyle w:val="monospace"/>
            </w:pPr>
            <w:r>
              <w:t>01</w:t>
            </w:r>
            <w:r w:rsidR="00945ADA">
              <w:t>10</w:t>
            </w:r>
            <w:r>
              <w:t>,</w:t>
            </w:r>
            <w:r w:rsidR="00945ADA">
              <w:t>0111</w:t>
            </w:r>
          </w:p>
        </w:tc>
        <w:tc>
          <w:tcPr>
            <w:tcW w:w="0" w:type="auto"/>
          </w:tcPr>
          <w:p w:rsidR="00F74A32" w:rsidRDefault="00F74A32" w:rsidP="003A1BAB">
            <w:pPr>
              <w:pStyle w:val="monospace"/>
            </w:pPr>
          </w:p>
        </w:tc>
      </w:tr>
      <w:tr w:rsidR="00F74A32" w:rsidTr="00DB5BB3">
        <w:trPr>
          <w:jc w:val="center"/>
        </w:trPr>
        <w:tc>
          <w:tcPr>
            <w:tcW w:w="0" w:type="auto"/>
          </w:tcPr>
          <w:p w:rsidR="00F74A32" w:rsidRDefault="00F74A32" w:rsidP="003A1BAB">
            <w:pPr>
              <w:pStyle w:val="monospace"/>
            </w:pPr>
          </w:p>
        </w:tc>
        <w:tc>
          <w:tcPr>
            <w:tcW w:w="0" w:type="auto"/>
          </w:tcPr>
          <w:p w:rsidR="00F74A32" w:rsidRDefault="00F74A32" w:rsidP="003A1BAB">
            <w:pPr>
              <w:pStyle w:val="monospace"/>
            </w:pPr>
          </w:p>
        </w:tc>
        <w:tc>
          <w:tcPr>
            <w:tcW w:w="0" w:type="auto"/>
            <w:shd w:val="clear" w:color="auto" w:fill="DEEAF6" w:themeFill="accent1" w:themeFillTint="33"/>
          </w:tcPr>
          <w:p w:rsidR="00F74A32" w:rsidRDefault="00945ADA" w:rsidP="003A1BAB">
            <w:pPr>
              <w:pStyle w:val="monospace"/>
            </w:pPr>
            <w:r>
              <w:t>12</w:t>
            </w:r>
          </w:p>
        </w:tc>
      </w:tr>
      <w:tr w:rsidR="00F74A32" w:rsidTr="00DB5BB3">
        <w:trPr>
          <w:jc w:val="center"/>
        </w:trPr>
        <w:tc>
          <w:tcPr>
            <w:tcW w:w="0" w:type="auto"/>
          </w:tcPr>
          <w:p w:rsidR="00F74A32" w:rsidRDefault="00F74A32" w:rsidP="003A1BAB">
            <w:pPr>
              <w:pStyle w:val="monospace"/>
            </w:pPr>
          </w:p>
        </w:tc>
        <w:tc>
          <w:tcPr>
            <w:tcW w:w="0" w:type="auto"/>
          </w:tcPr>
          <w:p w:rsidR="00F74A32" w:rsidRDefault="00F74A32" w:rsidP="003A1BAB">
            <w:pPr>
              <w:pStyle w:val="monospace"/>
            </w:pPr>
          </w:p>
        </w:tc>
        <w:tc>
          <w:tcPr>
            <w:tcW w:w="0" w:type="auto"/>
            <w:shd w:val="clear" w:color="auto" w:fill="DEEAF6" w:themeFill="accent1" w:themeFillTint="33"/>
          </w:tcPr>
          <w:p w:rsidR="00F74A32" w:rsidRDefault="00945ADA" w:rsidP="003A1BAB">
            <w:pPr>
              <w:pStyle w:val="monospace"/>
            </w:pPr>
            <w:r>
              <w:t>AF</w:t>
            </w:r>
          </w:p>
        </w:tc>
      </w:tr>
    </w:tbl>
    <w:p w:rsidR="00F74A32" w:rsidRDefault="00945ADA" w:rsidP="00945ADA">
      <w:pPr>
        <w:pStyle w:val="Heading1"/>
      </w:pPr>
      <w:bookmarkStart w:id="5" w:name="_Toc432465979"/>
      <w:r>
        <w:t>Task 2: ASCII</w:t>
      </w:r>
      <w:bookmarkEnd w:id="5"/>
    </w:p>
    <w:p w:rsidR="00B15762" w:rsidRDefault="00B739B0" w:rsidP="00945ADA">
      <w:pPr>
        <w:rPr>
          <w:b/>
        </w:rPr>
      </w:pPr>
      <w:r>
        <w:t>With all computer data being represented as numbers, standards must be developed to ma</w:t>
      </w:r>
      <w:r w:rsidR="00B15762">
        <w:t>ke sense of these numbers. Meet</w:t>
      </w:r>
      <w:r>
        <w:t xml:space="preserve"> the </w:t>
      </w:r>
      <w:r>
        <w:rPr>
          <w:b/>
        </w:rPr>
        <w:t xml:space="preserve">American Standard Code for Information </w:t>
      </w:r>
      <w:r w:rsidRPr="00B15762">
        <w:rPr>
          <w:b/>
        </w:rPr>
        <w:t>Interchange</w:t>
      </w:r>
      <w:r>
        <w:t xml:space="preserve">, or </w:t>
      </w:r>
      <w:r>
        <w:rPr>
          <w:b/>
        </w:rPr>
        <w:t>ASCII</w:t>
      </w:r>
      <w:r w:rsidR="00B15762">
        <w:t>, a scheme that encodes characters as numbers</w:t>
      </w:r>
      <w:r>
        <w:t>.</w:t>
      </w:r>
    </w:p>
    <w:p w:rsidR="00B15762" w:rsidRDefault="00B15762" w:rsidP="00B15762">
      <w:pPr>
        <w:pStyle w:val="Heading2"/>
      </w:pPr>
      <w:r>
        <w:t>Instructions</w:t>
      </w:r>
    </w:p>
    <w:p w:rsidR="00B739B0" w:rsidRPr="00B739B0" w:rsidRDefault="00B15762" w:rsidP="00945ADA">
      <w:r>
        <w:t>Using the ASCII standard, t</w:t>
      </w:r>
      <w:r w:rsidR="00B739B0" w:rsidRPr="00B739B0">
        <w:t>ranslate</w:t>
      </w:r>
      <w:r w:rsidR="00B739B0">
        <w:t xml:space="preserve"> the following string of </w:t>
      </w:r>
      <w:r w:rsidR="00275427">
        <w:t>base 10</w:t>
      </w:r>
      <w:r>
        <w:t xml:space="preserve"> </w:t>
      </w:r>
      <w:r w:rsidR="00B739B0">
        <w:t xml:space="preserve">numbers into a sentence </w:t>
      </w:r>
      <w:r>
        <w:t>of characters</w:t>
      </w:r>
      <w:r w:rsidR="00B739B0">
        <w:t>. A</w:t>
      </w:r>
      <w:r w:rsidR="00275427">
        <w:t xml:space="preserve"> reference</w:t>
      </w:r>
      <w:r w:rsidR="00B739B0">
        <w:t xml:space="preserve"> table can be found at </w:t>
      </w:r>
      <w:hyperlink r:id="rId5" w:history="1">
        <w:r w:rsidR="00B739B0" w:rsidRPr="00B739B0">
          <w:rPr>
            <w:rStyle w:val="Hyperlink"/>
          </w:rPr>
          <w:t>http://www.asciitable.com</w:t>
        </w:r>
      </w:hyperlink>
      <w:r w:rsidR="00B739B0">
        <w:t>.</w:t>
      </w:r>
    </w:p>
    <w:tbl>
      <w:tblPr>
        <w:tblStyle w:val="TableGrid"/>
        <w:tblW w:w="5000" w:type="pct"/>
        <w:tblLook w:val="04A0" w:firstRow="1" w:lastRow="0" w:firstColumn="1" w:lastColumn="0" w:noHBand="0" w:noVBand="1"/>
      </w:tblPr>
      <w:tblGrid>
        <w:gridCol w:w="854"/>
        <w:gridCol w:w="607"/>
        <w:gridCol w:w="607"/>
        <w:gridCol w:w="607"/>
        <w:gridCol w:w="607"/>
        <w:gridCol w:w="607"/>
        <w:gridCol w:w="607"/>
        <w:gridCol w:w="607"/>
        <w:gridCol w:w="607"/>
        <w:gridCol w:w="607"/>
        <w:gridCol w:w="607"/>
        <w:gridCol w:w="607"/>
        <w:gridCol w:w="607"/>
        <w:gridCol w:w="608"/>
        <w:gridCol w:w="604"/>
      </w:tblGrid>
      <w:tr w:rsidR="003A1BAB" w:rsidTr="00DB5BB3">
        <w:tc>
          <w:tcPr>
            <w:tcW w:w="451" w:type="pct"/>
            <w:shd w:val="clear" w:color="auto" w:fill="BDD6EE" w:themeFill="accent1" w:themeFillTint="66"/>
          </w:tcPr>
          <w:p w:rsidR="00B313FC" w:rsidRPr="00275427" w:rsidRDefault="00275427" w:rsidP="003A1BAB">
            <w:pPr>
              <w:pStyle w:val="monospace"/>
              <w:rPr>
                <w:vertAlign w:val="subscript"/>
              </w:rPr>
            </w:pPr>
            <w:r>
              <w:t>Code</w:t>
            </w:r>
            <w:r>
              <w:rPr>
                <w:vertAlign w:val="subscript"/>
              </w:rPr>
              <w:t>10</w:t>
            </w:r>
          </w:p>
        </w:tc>
        <w:tc>
          <w:tcPr>
            <w:tcW w:w="325" w:type="pct"/>
            <w:shd w:val="clear" w:color="auto" w:fill="DEEAF6" w:themeFill="accent1" w:themeFillTint="33"/>
          </w:tcPr>
          <w:p w:rsidR="00B313FC" w:rsidRPr="00275427" w:rsidRDefault="00B313FC" w:rsidP="003A1BAB">
            <w:pPr>
              <w:pStyle w:val="monospace"/>
              <w:jc w:val="center"/>
              <w:rPr>
                <w:vertAlign w:val="subscript"/>
              </w:rPr>
            </w:pPr>
            <w:r>
              <w:t>73</w:t>
            </w:r>
          </w:p>
        </w:tc>
        <w:tc>
          <w:tcPr>
            <w:tcW w:w="325" w:type="pct"/>
            <w:shd w:val="clear" w:color="auto" w:fill="DEEAF6" w:themeFill="accent1" w:themeFillTint="33"/>
          </w:tcPr>
          <w:p w:rsidR="00B313FC" w:rsidRDefault="00B313FC" w:rsidP="003A1BAB">
            <w:pPr>
              <w:pStyle w:val="monospace"/>
              <w:jc w:val="center"/>
            </w:pPr>
            <w:r>
              <w:t>116</w:t>
            </w:r>
          </w:p>
        </w:tc>
        <w:tc>
          <w:tcPr>
            <w:tcW w:w="325" w:type="pct"/>
            <w:shd w:val="clear" w:color="auto" w:fill="DEEAF6" w:themeFill="accent1" w:themeFillTint="33"/>
          </w:tcPr>
          <w:p w:rsidR="00B313FC" w:rsidRDefault="00B313FC" w:rsidP="003A1BAB">
            <w:pPr>
              <w:pStyle w:val="monospace"/>
              <w:jc w:val="center"/>
            </w:pPr>
            <w:r>
              <w:t>39</w:t>
            </w:r>
          </w:p>
        </w:tc>
        <w:tc>
          <w:tcPr>
            <w:tcW w:w="325" w:type="pct"/>
            <w:shd w:val="clear" w:color="auto" w:fill="DEEAF6" w:themeFill="accent1" w:themeFillTint="33"/>
          </w:tcPr>
          <w:p w:rsidR="00B313FC" w:rsidRDefault="00B313FC" w:rsidP="003A1BAB">
            <w:pPr>
              <w:pStyle w:val="monospace"/>
              <w:jc w:val="center"/>
            </w:pPr>
            <w:r>
              <w:t>115</w:t>
            </w:r>
          </w:p>
        </w:tc>
        <w:tc>
          <w:tcPr>
            <w:tcW w:w="325" w:type="pct"/>
            <w:shd w:val="clear" w:color="auto" w:fill="DEEAF6" w:themeFill="accent1" w:themeFillTint="33"/>
          </w:tcPr>
          <w:p w:rsidR="00B313FC" w:rsidRDefault="00B313FC" w:rsidP="003A1BAB">
            <w:pPr>
              <w:pStyle w:val="monospace"/>
              <w:jc w:val="center"/>
            </w:pPr>
            <w:r>
              <w:t>32</w:t>
            </w:r>
          </w:p>
        </w:tc>
        <w:tc>
          <w:tcPr>
            <w:tcW w:w="325" w:type="pct"/>
            <w:shd w:val="clear" w:color="auto" w:fill="DEEAF6" w:themeFill="accent1" w:themeFillTint="33"/>
          </w:tcPr>
          <w:p w:rsidR="00B313FC" w:rsidRDefault="00B313FC" w:rsidP="003A1BAB">
            <w:pPr>
              <w:pStyle w:val="monospace"/>
              <w:jc w:val="center"/>
            </w:pPr>
            <w:r>
              <w:t>97</w:t>
            </w:r>
          </w:p>
        </w:tc>
        <w:tc>
          <w:tcPr>
            <w:tcW w:w="325" w:type="pct"/>
            <w:shd w:val="clear" w:color="auto" w:fill="DEEAF6" w:themeFill="accent1" w:themeFillTint="33"/>
          </w:tcPr>
          <w:p w:rsidR="00B313FC" w:rsidRDefault="00B313FC" w:rsidP="003A1BAB">
            <w:pPr>
              <w:pStyle w:val="monospace"/>
              <w:jc w:val="center"/>
            </w:pPr>
            <w:r>
              <w:t>32</w:t>
            </w:r>
          </w:p>
        </w:tc>
        <w:tc>
          <w:tcPr>
            <w:tcW w:w="325" w:type="pct"/>
            <w:shd w:val="clear" w:color="auto" w:fill="DEEAF6" w:themeFill="accent1" w:themeFillTint="33"/>
          </w:tcPr>
          <w:p w:rsidR="00B313FC" w:rsidRDefault="00B313FC" w:rsidP="003A1BAB">
            <w:pPr>
              <w:pStyle w:val="monospace"/>
              <w:jc w:val="center"/>
            </w:pPr>
            <w:r>
              <w:t>115</w:t>
            </w:r>
          </w:p>
        </w:tc>
        <w:tc>
          <w:tcPr>
            <w:tcW w:w="325" w:type="pct"/>
            <w:shd w:val="clear" w:color="auto" w:fill="DEEAF6" w:themeFill="accent1" w:themeFillTint="33"/>
          </w:tcPr>
          <w:p w:rsidR="00B313FC" w:rsidRDefault="00B313FC" w:rsidP="003A1BAB">
            <w:pPr>
              <w:pStyle w:val="monospace"/>
              <w:jc w:val="center"/>
            </w:pPr>
            <w:r>
              <w:t>101</w:t>
            </w:r>
          </w:p>
        </w:tc>
        <w:tc>
          <w:tcPr>
            <w:tcW w:w="325" w:type="pct"/>
            <w:shd w:val="clear" w:color="auto" w:fill="DEEAF6" w:themeFill="accent1" w:themeFillTint="33"/>
          </w:tcPr>
          <w:p w:rsidR="00B313FC" w:rsidRDefault="00B313FC" w:rsidP="003A1BAB">
            <w:pPr>
              <w:pStyle w:val="monospace"/>
              <w:jc w:val="center"/>
            </w:pPr>
            <w:r>
              <w:t>99</w:t>
            </w:r>
          </w:p>
        </w:tc>
        <w:tc>
          <w:tcPr>
            <w:tcW w:w="325" w:type="pct"/>
            <w:shd w:val="clear" w:color="auto" w:fill="DEEAF6" w:themeFill="accent1" w:themeFillTint="33"/>
          </w:tcPr>
          <w:p w:rsidR="00B313FC" w:rsidRDefault="00B313FC" w:rsidP="003A1BAB">
            <w:pPr>
              <w:pStyle w:val="monospace"/>
              <w:jc w:val="center"/>
            </w:pPr>
            <w:r>
              <w:t>114</w:t>
            </w:r>
          </w:p>
        </w:tc>
        <w:tc>
          <w:tcPr>
            <w:tcW w:w="325" w:type="pct"/>
            <w:shd w:val="clear" w:color="auto" w:fill="DEEAF6" w:themeFill="accent1" w:themeFillTint="33"/>
          </w:tcPr>
          <w:p w:rsidR="00B313FC" w:rsidRDefault="00B313FC" w:rsidP="003A1BAB">
            <w:pPr>
              <w:pStyle w:val="monospace"/>
              <w:jc w:val="center"/>
            </w:pPr>
            <w:r>
              <w:t>101</w:t>
            </w:r>
          </w:p>
        </w:tc>
        <w:tc>
          <w:tcPr>
            <w:tcW w:w="325" w:type="pct"/>
            <w:shd w:val="clear" w:color="auto" w:fill="DEEAF6" w:themeFill="accent1" w:themeFillTint="33"/>
          </w:tcPr>
          <w:p w:rsidR="00B313FC" w:rsidRDefault="00B313FC" w:rsidP="003A1BAB">
            <w:pPr>
              <w:pStyle w:val="monospace"/>
              <w:jc w:val="center"/>
            </w:pPr>
            <w:r>
              <w:t>116</w:t>
            </w:r>
          </w:p>
        </w:tc>
        <w:tc>
          <w:tcPr>
            <w:tcW w:w="323" w:type="pct"/>
            <w:shd w:val="clear" w:color="auto" w:fill="DEEAF6" w:themeFill="accent1" w:themeFillTint="33"/>
          </w:tcPr>
          <w:p w:rsidR="00B313FC" w:rsidRDefault="00B313FC" w:rsidP="003A1BAB">
            <w:pPr>
              <w:pStyle w:val="monospace"/>
              <w:jc w:val="center"/>
            </w:pPr>
            <w:r>
              <w:t>33</w:t>
            </w:r>
          </w:p>
        </w:tc>
      </w:tr>
      <w:tr w:rsidR="00DB5BB3" w:rsidTr="00DB5BB3">
        <w:tc>
          <w:tcPr>
            <w:tcW w:w="451" w:type="pct"/>
            <w:shd w:val="clear" w:color="auto" w:fill="BDD6EE" w:themeFill="accent1" w:themeFillTint="66"/>
          </w:tcPr>
          <w:p w:rsidR="003A1BAB" w:rsidRDefault="00B313FC" w:rsidP="003A1BAB">
            <w:pPr>
              <w:pStyle w:val="monospace"/>
            </w:pPr>
            <w:r>
              <w:t>Char</w:t>
            </w: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5" w:type="pct"/>
          </w:tcPr>
          <w:p w:rsidR="00B313FC" w:rsidRDefault="00B313FC" w:rsidP="003A1BAB">
            <w:pPr>
              <w:pStyle w:val="monospace"/>
            </w:pPr>
          </w:p>
        </w:tc>
        <w:tc>
          <w:tcPr>
            <w:tcW w:w="323" w:type="pct"/>
          </w:tcPr>
          <w:p w:rsidR="00B313FC" w:rsidRDefault="00B313FC" w:rsidP="003A1BAB">
            <w:pPr>
              <w:pStyle w:val="monospace"/>
            </w:pPr>
          </w:p>
        </w:tc>
      </w:tr>
    </w:tbl>
    <w:p w:rsidR="00945ADA" w:rsidRDefault="00B313FC" w:rsidP="00B313FC">
      <w:pPr>
        <w:pStyle w:val="Heading1"/>
      </w:pPr>
      <w:bookmarkStart w:id="6" w:name="_Toc432465980"/>
      <w:r>
        <w:t>Task 3: Colo</w:t>
      </w:r>
      <w:r w:rsidR="007A22D2">
        <w:t>u</w:t>
      </w:r>
      <w:r>
        <w:t>r</w:t>
      </w:r>
      <w:bookmarkEnd w:id="6"/>
    </w:p>
    <w:p w:rsidR="007A22D2" w:rsidRPr="004E5429" w:rsidRDefault="007A22D2" w:rsidP="007A22D2">
      <w:r>
        <w:t>Like characters, colours can also be represented with numbers. Your monitor is made up of pixels, and each of thes</w:t>
      </w:r>
      <w:r w:rsidR="0076196D">
        <w:t>e pixels mix varying shades</w:t>
      </w:r>
      <w:r>
        <w:t xml:space="preserve"> of red, green, and blue to </w:t>
      </w:r>
      <w:r w:rsidR="0076196D">
        <w:t>create a colour.</w:t>
      </w:r>
      <w:r w:rsidR="00495F81">
        <w:t xml:space="preserve"> Most computers support up to 256 </w:t>
      </w:r>
      <w:r w:rsidR="004E5429">
        <w:t xml:space="preserve">different values (8 bits) </w:t>
      </w:r>
      <w:r w:rsidR="00495F81">
        <w:t>f</w:t>
      </w:r>
      <w:r w:rsidR="004E5429">
        <w:t>or</w:t>
      </w:r>
      <w:r w:rsidR="00495F81">
        <w:t xml:space="preserve"> each of these three </w:t>
      </w:r>
      <w:r w:rsidR="004E5429">
        <w:t>primary colour channels, resulting in over 16.7 million possible colours. This is known as 24bit colour. This is represented pretty handily using 6 hex digits. From the left, the first 2 digits represent the red channel, the second 2 represent the green channel, and the last 2 represent the blue channel. For example, the colour #</w:t>
      </w:r>
      <w:r w:rsidR="004E5429" w:rsidRPr="004E5429">
        <w:rPr>
          <w:color w:val="FF0000"/>
        </w:rPr>
        <w:t>FF</w:t>
      </w:r>
      <w:r w:rsidR="004E5429" w:rsidRPr="004E5429">
        <w:rPr>
          <w:color w:val="00B050"/>
        </w:rPr>
        <w:t>FF</w:t>
      </w:r>
      <w:r w:rsidR="004E5429" w:rsidRPr="004E5429">
        <w:rPr>
          <w:color w:val="0070C0"/>
        </w:rPr>
        <w:t xml:space="preserve">FF </w:t>
      </w:r>
      <w:r w:rsidR="004E5429">
        <w:t>would represent (FF</w:t>
      </w:r>
      <w:r w:rsidR="004E5429" w:rsidRPr="004E5429">
        <w:rPr>
          <w:vertAlign w:val="subscript"/>
        </w:rPr>
        <w:t>16</w:t>
      </w:r>
      <w:r w:rsidR="004E5429">
        <w:t xml:space="preserve"> = 255</w:t>
      </w:r>
      <w:r w:rsidR="004E5429">
        <w:rPr>
          <w:vertAlign w:val="subscript"/>
        </w:rPr>
        <w:t>10</w:t>
      </w:r>
      <w:r w:rsidR="004E5429">
        <w:t xml:space="preserve">) </w:t>
      </w:r>
      <w:r w:rsidR="004E5429" w:rsidRPr="004E5429">
        <w:rPr>
          <w:color w:val="FF0000"/>
        </w:rPr>
        <w:t>255 red</w:t>
      </w:r>
      <w:r w:rsidR="004E5429">
        <w:t xml:space="preserve">, </w:t>
      </w:r>
      <w:r w:rsidR="004E5429" w:rsidRPr="004E5429">
        <w:rPr>
          <w:color w:val="00B050"/>
        </w:rPr>
        <w:t>255 green</w:t>
      </w:r>
      <w:r w:rsidR="004E5429">
        <w:t xml:space="preserve">, and </w:t>
      </w:r>
      <w:r w:rsidR="004E5429" w:rsidRPr="004E5429">
        <w:rPr>
          <w:color w:val="0070C0"/>
        </w:rPr>
        <w:t>255 blue</w:t>
      </w:r>
      <w:r w:rsidR="004E5429">
        <w:t xml:space="preserve">, the maximum value of each colour channel, which mix together to create white. Check out </w:t>
      </w:r>
      <w:hyperlink r:id="rId6" w:history="1">
        <w:r w:rsidR="004E5429" w:rsidRPr="000B6BEF">
          <w:rPr>
            <w:rStyle w:val="Hyperlink"/>
          </w:rPr>
          <w:t>https://en.wikipedia.org/wiki/Additive_color</w:t>
        </w:r>
      </w:hyperlink>
      <w:r w:rsidR="004E5429">
        <w:rPr>
          <w:b/>
        </w:rPr>
        <w:t xml:space="preserve"> </w:t>
      </w:r>
      <w:r w:rsidR="004E5429">
        <w:t xml:space="preserve">for more information on </w:t>
      </w:r>
      <w:r w:rsidR="00BE5CD8">
        <w:t>how these colours mix.</w:t>
      </w:r>
    </w:p>
    <w:p w:rsidR="007A22D2" w:rsidRPr="007A22D2" w:rsidRDefault="007A22D2" w:rsidP="007A22D2">
      <w:pPr>
        <w:pStyle w:val="Heading2"/>
      </w:pPr>
      <w:r>
        <w:t xml:space="preserve">Instructions </w:t>
      </w:r>
    </w:p>
    <w:p w:rsidR="00DB5BB3" w:rsidRDefault="002E0BF7" w:rsidP="00B313F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91pt;margin-top:15.75pt;width:96pt;height:96pt;z-index:-251658752;mso-position-horizontal-relative:text;mso-position-vertical-relative:text;mso-width-relative:page;mso-height-relative:page" wrapcoords="4219 506 2531 1350 675 2869 -169 5738 -169 7088 1519 8606 844 13162 844 14006 0 15862 0 16200 844 16706 844 19406 1688 21262 7088 21262 10800 21262 17719 20081 17888 19406 20250 17044 20250 16706 21094 15019 20756 14175 19406 13669 18394 12319 17212 11306 19912 8606 20925 5906 20756 1856 16200 1012 5231 506 4219 506">
            <v:imagedata r:id="rId7" o:title="color choices"/>
            <w10:wrap type="tight"/>
          </v:shape>
        </w:pict>
      </w:r>
      <w:r w:rsidR="00BE5CD8">
        <w:t>Convert each Hex colour code to RGB, then m</w:t>
      </w:r>
      <w:r w:rsidR="00B739B0">
        <w:t>atch each code to the corresponding color</w:t>
      </w:r>
      <w:r w:rsidR="00772A84">
        <w:t>’s letter</w:t>
      </w:r>
      <w:r w:rsidR="00B739B0">
        <w:t>.</w:t>
      </w:r>
    </w:p>
    <w:tbl>
      <w:tblPr>
        <w:tblStyle w:val="TableGrid"/>
        <w:tblpPr w:leftFromText="180" w:rightFromText="180" w:vertAnchor="page" w:horzAnchor="page" w:tblpX="2221" w:tblpY="12631"/>
        <w:tblW w:w="0" w:type="auto"/>
        <w:tblLook w:val="04A0" w:firstRow="1" w:lastRow="0" w:firstColumn="1" w:lastColumn="0" w:noHBand="0" w:noVBand="1"/>
      </w:tblPr>
      <w:tblGrid>
        <w:gridCol w:w="1405"/>
        <w:gridCol w:w="1141"/>
        <w:gridCol w:w="1134"/>
      </w:tblGrid>
      <w:tr w:rsidR="00490596" w:rsidTr="00490596">
        <w:tc>
          <w:tcPr>
            <w:tcW w:w="1405" w:type="dxa"/>
            <w:shd w:val="clear" w:color="auto" w:fill="BDD6EE" w:themeFill="accent1" w:themeFillTint="66"/>
          </w:tcPr>
          <w:p w:rsidR="00490596" w:rsidRDefault="00490596" w:rsidP="00490596">
            <w:pPr>
              <w:pStyle w:val="monospace"/>
            </w:pPr>
            <w:r>
              <w:t>R,G,B</w:t>
            </w:r>
          </w:p>
        </w:tc>
        <w:tc>
          <w:tcPr>
            <w:tcW w:w="1141" w:type="dxa"/>
            <w:shd w:val="clear" w:color="auto" w:fill="BDD6EE" w:themeFill="accent1" w:themeFillTint="66"/>
          </w:tcPr>
          <w:p w:rsidR="00490596" w:rsidRDefault="00490596" w:rsidP="00490596">
            <w:pPr>
              <w:pStyle w:val="monospace"/>
            </w:pPr>
            <w:r>
              <w:t>Hex</w:t>
            </w:r>
          </w:p>
        </w:tc>
        <w:tc>
          <w:tcPr>
            <w:tcW w:w="1134" w:type="dxa"/>
            <w:shd w:val="clear" w:color="auto" w:fill="BDD6EE" w:themeFill="accent1" w:themeFillTint="66"/>
          </w:tcPr>
          <w:p w:rsidR="00490596" w:rsidRDefault="00490596" w:rsidP="00490596">
            <w:pPr>
              <w:pStyle w:val="monospace"/>
            </w:pPr>
            <w:r>
              <w:t>Color</w:t>
            </w:r>
          </w:p>
        </w:tc>
      </w:tr>
      <w:tr w:rsidR="00490596" w:rsidTr="00490596">
        <w:tc>
          <w:tcPr>
            <w:tcW w:w="1405" w:type="dxa"/>
            <w:shd w:val="clear" w:color="auto" w:fill="DEEAF6" w:themeFill="accent1" w:themeFillTint="33"/>
          </w:tcPr>
          <w:p w:rsidR="00490596" w:rsidRDefault="00490596" w:rsidP="00490596">
            <w:pPr>
              <w:pStyle w:val="monospace"/>
            </w:pPr>
            <w:r>
              <w:t>231,19,34</w:t>
            </w:r>
          </w:p>
        </w:tc>
        <w:tc>
          <w:tcPr>
            <w:tcW w:w="1141" w:type="dxa"/>
          </w:tcPr>
          <w:p w:rsidR="00490596" w:rsidRDefault="00490596" w:rsidP="00490596">
            <w:pPr>
              <w:pStyle w:val="monospace"/>
            </w:pPr>
          </w:p>
        </w:tc>
        <w:tc>
          <w:tcPr>
            <w:tcW w:w="1134" w:type="dxa"/>
          </w:tcPr>
          <w:p w:rsidR="00490596" w:rsidRDefault="00490596" w:rsidP="00490596">
            <w:pPr>
              <w:pStyle w:val="monospace"/>
            </w:pPr>
          </w:p>
        </w:tc>
      </w:tr>
      <w:tr w:rsidR="00490596" w:rsidTr="00490596">
        <w:tc>
          <w:tcPr>
            <w:tcW w:w="1405" w:type="dxa"/>
          </w:tcPr>
          <w:p w:rsidR="00490596" w:rsidRDefault="00490596" w:rsidP="00490596">
            <w:pPr>
              <w:pStyle w:val="monospace"/>
            </w:pPr>
          </w:p>
        </w:tc>
        <w:tc>
          <w:tcPr>
            <w:tcW w:w="1141" w:type="dxa"/>
            <w:shd w:val="clear" w:color="auto" w:fill="DEEAF6" w:themeFill="accent1" w:themeFillTint="33"/>
          </w:tcPr>
          <w:p w:rsidR="00490596" w:rsidRDefault="00490596" w:rsidP="00490596">
            <w:pPr>
              <w:pStyle w:val="monospace"/>
            </w:pPr>
            <w:r>
              <w:t>#00A9DC</w:t>
            </w:r>
          </w:p>
        </w:tc>
        <w:tc>
          <w:tcPr>
            <w:tcW w:w="1134" w:type="dxa"/>
          </w:tcPr>
          <w:p w:rsidR="00490596" w:rsidRDefault="00490596" w:rsidP="00490596">
            <w:pPr>
              <w:pStyle w:val="monospace"/>
            </w:pPr>
          </w:p>
        </w:tc>
      </w:tr>
      <w:tr w:rsidR="00490596" w:rsidTr="00490596">
        <w:tc>
          <w:tcPr>
            <w:tcW w:w="1405" w:type="dxa"/>
          </w:tcPr>
          <w:p w:rsidR="00490596" w:rsidRDefault="00490596" w:rsidP="00490596">
            <w:pPr>
              <w:pStyle w:val="monospace"/>
            </w:pPr>
          </w:p>
        </w:tc>
        <w:tc>
          <w:tcPr>
            <w:tcW w:w="1141" w:type="dxa"/>
            <w:shd w:val="clear" w:color="auto" w:fill="DEEAF6" w:themeFill="accent1" w:themeFillTint="33"/>
          </w:tcPr>
          <w:p w:rsidR="00490596" w:rsidRDefault="00490596" w:rsidP="00490596">
            <w:pPr>
              <w:pStyle w:val="monospace"/>
            </w:pPr>
            <w:r>
              <w:t>#FFF200</w:t>
            </w:r>
          </w:p>
        </w:tc>
        <w:tc>
          <w:tcPr>
            <w:tcW w:w="1134" w:type="dxa"/>
          </w:tcPr>
          <w:p w:rsidR="00490596" w:rsidRDefault="00490596" w:rsidP="00490596">
            <w:pPr>
              <w:pStyle w:val="monospace"/>
            </w:pPr>
          </w:p>
        </w:tc>
      </w:tr>
      <w:tr w:rsidR="00490596" w:rsidTr="00490596">
        <w:tc>
          <w:tcPr>
            <w:tcW w:w="1405" w:type="dxa"/>
          </w:tcPr>
          <w:p w:rsidR="00490596" w:rsidRDefault="00490596" w:rsidP="00490596">
            <w:pPr>
              <w:pStyle w:val="monospace"/>
            </w:pPr>
          </w:p>
        </w:tc>
        <w:tc>
          <w:tcPr>
            <w:tcW w:w="1141" w:type="dxa"/>
            <w:shd w:val="clear" w:color="auto" w:fill="DEEAF6" w:themeFill="accent1" w:themeFillTint="33"/>
          </w:tcPr>
          <w:p w:rsidR="00490596" w:rsidRDefault="00490596" w:rsidP="00490596">
            <w:pPr>
              <w:pStyle w:val="monospace"/>
            </w:pPr>
            <w:r>
              <w:t>#8DC63F</w:t>
            </w:r>
          </w:p>
        </w:tc>
        <w:tc>
          <w:tcPr>
            <w:tcW w:w="1134" w:type="dxa"/>
          </w:tcPr>
          <w:p w:rsidR="00490596" w:rsidRDefault="00490596" w:rsidP="00490596">
            <w:pPr>
              <w:pStyle w:val="monospace"/>
            </w:pPr>
          </w:p>
        </w:tc>
      </w:tr>
    </w:tbl>
    <w:p w:rsidR="00B313FC" w:rsidRPr="00B313FC" w:rsidRDefault="00B313FC" w:rsidP="00B313FC"/>
    <w:sectPr w:rsidR="00B313FC" w:rsidRPr="00B313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32"/>
    <w:rsid w:val="0017726D"/>
    <w:rsid w:val="00275427"/>
    <w:rsid w:val="002E0BF7"/>
    <w:rsid w:val="003A1BAB"/>
    <w:rsid w:val="00490596"/>
    <w:rsid w:val="00490802"/>
    <w:rsid w:val="00495F81"/>
    <w:rsid w:val="004D062A"/>
    <w:rsid w:val="004E5429"/>
    <w:rsid w:val="00510767"/>
    <w:rsid w:val="00663DE6"/>
    <w:rsid w:val="006E0CAA"/>
    <w:rsid w:val="0076196D"/>
    <w:rsid w:val="00772A84"/>
    <w:rsid w:val="00786D84"/>
    <w:rsid w:val="007A22D2"/>
    <w:rsid w:val="007F15CB"/>
    <w:rsid w:val="00945ADA"/>
    <w:rsid w:val="00B15762"/>
    <w:rsid w:val="00B313FC"/>
    <w:rsid w:val="00B739B0"/>
    <w:rsid w:val="00BB6AAE"/>
    <w:rsid w:val="00BE5CD8"/>
    <w:rsid w:val="00BF5FE9"/>
    <w:rsid w:val="00C02E2F"/>
    <w:rsid w:val="00DB5BB3"/>
    <w:rsid w:val="00E6501F"/>
    <w:rsid w:val="00F74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8966A6"/>
  <w15:chartTrackingRefBased/>
  <w15:docId w15:val="{A532A632-9FA9-4E52-9095-7E364F54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5BB3"/>
  </w:style>
  <w:style w:type="paragraph" w:styleId="Heading1">
    <w:name w:val="heading 1"/>
    <w:basedOn w:val="Normal"/>
    <w:next w:val="Normal"/>
    <w:link w:val="Heading1Char"/>
    <w:uiPriority w:val="9"/>
    <w:qFormat/>
    <w:rsid w:val="00DB5BB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B5BB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B5BB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B5BB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B5BB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B5BB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B5BB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B5BB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B5BB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5BB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B5BB3"/>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DB5BB3"/>
    <w:rPr>
      <w:rFonts w:asciiTheme="majorHAnsi" w:eastAsiaTheme="majorEastAsia" w:hAnsiTheme="majorHAnsi" w:cstheme="majorBidi"/>
      <w:color w:val="2E74B5" w:themeColor="accent1" w:themeShade="BF"/>
      <w:sz w:val="36"/>
      <w:szCs w:val="36"/>
    </w:rPr>
  </w:style>
  <w:style w:type="paragraph" w:customStyle="1" w:styleId="monospace">
    <w:name w:val="monospace"/>
    <w:basedOn w:val="Normal"/>
    <w:link w:val="monospaceChar"/>
    <w:rsid w:val="006E0CAA"/>
    <w:pPr>
      <w:spacing w:after="0" w:line="240" w:lineRule="auto"/>
    </w:pPr>
    <w:rPr>
      <w:rFonts w:ascii="Consolas" w:hAnsi="Consolas"/>
      <w:sz w:val="22"/>
    </w:rPr>
  </w:style>
  <w:style w:type="character" w:customStyle="1" w:styleId="Heading2Char">
    <w:name w:val="Heading 2 Char"/>
    <w:basedOn w:val="DefaultParagraphFont"/>
    <w:link w:val="Heading2"/>
    <w:uiPriority w:val="9"/>
    <w:rsid w:val="00DB5BB3"/>
    <w:rPr>
      <w:rFonts w:asciiTheme="majorHAnsi" w:eastAsiaTheme="majorEastAsia" w:hAnsiTheme="majorHAnsi" w:cstheme="majorBidi"/>
      <w:color w:val="2E74B5" w:themeColor="accent1" w:themeShade="BF"/>
      <w:sz w:val="28"/>
      <w:szCs w:val="28"/>
    </w:rPr>
  </w:style>
  <w:style w:type="character" w:customStyle="1" w:styleId="monospaceChar">
    <w:name w:val="monospace Char"/>
    <w:basedOn w:val="DefaultParagraphFont"/>
    <w:link w:val="monospace"/>
    <w:rsid w:val="006E0CAA"/>
    <w:rPr>
      <w:rFonts w:ascii="Consolas" w:hAnsi="Consolas"/>
      <w:sz w:val="22"/>
    </w:rPr>
  </w:style>
  <w:style w:type="character" w:customStyle="1" w:styleId="Heading3Char">
    <w:name w:val="Heading 3 Char"/>
    <w:basedOn w:val="DefaultParagraphFont"/>
    <w:link w:val="Heading3"/>
    <w:uiPriority w:val="9"/>
    <w:semiHidden/>
    <w:rsid w:val="00DB5BB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B5BB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B5BB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B5BB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B5BB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B5BB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B5BB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B5BB3"/>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B5BB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B5BB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B5BB3"/>
    <w:rPr>
      <w:b/>
      <w:bCs/>
    </w:rPr>
  </w:style>
  <w:style w:type="character" w:styleId="Emphasis">
    <w:name w:val="Emphasis"/>
    <w:basedOn w:val="DefaultParagraphFont"/>
    <w:uiPriority w:val="20"/>
    <w:qFormat/>
    <w:rsid w:val="00DB5BB3"/>
    <w:rPr>
      <w:i/>
      <w:iCs/>
    </w:rPr>
  </w:style>
  <w:style w:type="paragraph" w:styleId="NoSpacing">
    <w:name w:val="No Spacing"/>
    <w:uiPriority w:val="1"/>
    <w:qFormat/>
    <w:rsid w:val="00DB5BB3"/>
    <w:pPr>
      <w:spacing w:after="0" w:line="240" w:lineRule="auto"/>
    </w:pPr>
  </w:style>
  <w:style w:type="paragraph" w:styleId="Quote">
    <w:name w:val="Quote"/>
    <w:basedOn w:val="Normal"/>
    <w:next w:val="Normal"/>
    <w:link w:val="QuoteChar"/>
    <w:uiPriority w:val="29"/>
    <w:qFormat/>
    <w:rsid w:val="00DB5BB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B5BB3"/>
    <w:rPr>
      <w:i/>
      <w:iCs/>
    </w:rPr>
  </w:style>
  <w:style w:type="paragraph" w:styleId="IntenseQuote">
    <w:name w:val="Intense Quote"/>
    <w:basedOn w:val="Normal"/>
    <w:next w:val="Normal"/>
    <w:link w:val="IntenseQuoteChar"/>
    <w:uiPriority w:val="30"/>
    <w:qFormat/>
    <w:rsid w:val="00DB5BB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B5BB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B5BB3"/>
    <w:rPr>
      <w:i/>
      <w:iCs/>
      <w:color w:val="595959" w:themeColor="text1" w:themeTint="A6"/>
    </w:rPr>
  </w:style>
  <w:style w:type="character" w:styleId="IntenseEmphasis">
    <w:name w:val="Intense Emphasis"/>
    <w:basedOn w:val="DefaultParagraphFont"/>
    <w:uiPriority w:val="21"/>
    <w:qFormat/>
    <w:rsid w:val="00DB5BB3"/>
    <w:rPr>
      <w:b/>
      <w:bCs/>
      <w:i/>
      <w:iCs/>
    </w:rPr>
  </w:style>
  <w:style w:type="character" w:styleId="SubtleReference">
    <w:name w:val="Subtle Reference"/>
    <w:basedOn w:val="DefaultParagraphFont"/>
    <w:uiPriority w:val="31"/>
    <w:qFormat/>
    <w:rsid w:val="00DB5BB3"/>
    <w:rPr>
      <w:smallCaps/>
      <w:color w:val="404040" w:themeColor="text1" w:themeTint="BF"/>
    </w:rPr>
  </w:style>
  <w:style w:type="character" w:styleId="IntenseReference">
    <w:name w:val="Intense Reference"/>
    <w:basedOn w:val="DefaultParagraphFont"/>
    <w:uiPriority w:val="32"/>
    <w:qFormat/>
    <w:rsid w:val="00DB5BB3"/>
    <w:rPr>
      <w:b/>
      <w:bCs/>
      <w:smallCaps/>
      <w:u w:val="single"/>
    </w:rPr>
  </w:style>
  <w:style w:type="character" w:styleId="BookTitle">
    <w:name w:val="Book Title"/>
    <w:basedOn w:val="DefaultParagraphFont"/>
    <w:uiPriority w:val="33"/>
    <w:qFormat/>
    <w:rsid w:val="00DB5BB3"/>
    <w:rPr>
      <w:b/>
      <w:bCs/>
      <w:smallCaps/>
    </w:rPr>
  </w:style>
  <w:style w:type="paragraph" w:styleId="TOCHeading">
    <w:name w:val="TOC Heading"/>
    <w:basedOn w:val="Heading1"/>
    <w:next w:val="Normal"/>
    <w:uiPriority w:val="39"/>
    <w:semiHidden/>
    <w:unhideWhenUsed/>
    <w:qFormat/>
    <w:rsid w:val="00DB5BB3"/>
    <w:pPr>
      <w:outlineLvl w:val="9"/>
    </w:pPr>
  </w:style>
  <w:style w:type="character" w:styleId="Hyperlink">
    <w:name w:val="Hyperlink"/>
    <w:basedOn w:val="DefaultParagraphFont"/>
    <w:uiPriority w:val="99"/>
    <w:unhideWhenUsed/>
    <w:rsid w:val="00B739B0"/>
    <w:rPr>
      <w:color w:val="0563C1" w:themeColor="hyperlink"/>
      <w:u w:val="single"/>
    </w:rPr>
  </w:style>
  <w:style w:type="paragraph" w:styleId="TOC1">
    <w:name w:val="toc 1"/>
    <w:basedOn w:val="Normal"/>
    <w:next w:val="Normal"/>
    <w:autoRedefine/>
    <w:uiPriority w:val="39"/>
    <w:unhideWhenUsed/>
    <w:rsid w:val="00BF5FE9"/>
    <w:pPr>
      <w:spacing w:after="100"/>
    </w:pPr>
  </w:style>
  <w:style w:type="character" w:styleId="FollowedHyperlink">
    <w:name w:val="FollowedHyperlink"/>
    <w:basedOn w:val="DefaultParagraphFont"/>
    <w:uiPriority w:val="99"/>
    <w:semiHidden/>
    <w:unhideWhenUsed/>
    <w:rsid w:val="001772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dditive_color" TargetMode="External"/><Relationship Id="rId5" Type="http://schemas.openxmlformats.org/officeDocument/2006/relationships/hyperlink" Target="http://www.asciitab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1AEAB8-7AFA-45D9-9798-89E278BB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Bell-Brown</dc:creator>
  <cp:keywords/>
  <dc:description/>
  <cp:lastModifiedBy>David Bell-Brown</cp:lastModifiedBy>
  <cp:revision>11</cp:revision>
  <dcterms:created xsi:type="dcterms:W3CDTF">2015-10-12T15:06:00Z</dcterms:created>
  <dcterms:modified xsi:type="dcterms:W3CDTF">2016-08-24T18:08:00Z</dcterms:modified>
</cp:coreProperties>
</file>