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0000"/>
          <w:sz w:val="56"/>
          <w:lang w:val="es-AR" w:eastAsia="es-AR" w:bidi="es-AR"/>
        </w:rPr>
        <w:t>ANÁLISIS DE DEMANDA</w:t>
        <w:br/>
        <w:t>ELÉCTRICA PROVINCIAL</w:t>
      </w:r>
    </w:p>
    <w:p>
      <w:pPr>
        <w:jc w:val="center"/>
      </w:pPr>
      <w:r>
        <w:rPr>
          <w:color w:val="000000"/>
          <w:sz w:val="30"/>
          <w:lang w:val="es-AR" w:eastAsia="es-AR" w:bidi="es-AR"/>
        </w:rPr>
        <w:t>Argentina · Datos horarios 2023–junio 2026</w:t>
      </w:r>
    </w:p>
    <w:p>
      <w:pPr>
        <w:spacing w:before="500"/>
        <w:jc w:val="center"/>
      </w:pPr>
      <w:r>
        <w:rPr>
          <w:b/>
          <w:sz w:val="32"/>
          <w:color w:val="000000"/>
          <w:lang w:val="es-AR" w:eastAsia="es-AR" w:bidi="es-AR"/>
        </w:rPr>
        <w:t>Informe final de Data Science</w:t>
      </w:r>
    </w:p>
    <w:p>
      <w:pPr>
        <w:jc w:val="center"/>
      </w:pPr>
      <w:r>
        <w:rPr>
          <w:sz w:val="21"/>
          <w:color w:val="000000"/>
          <w:lang w:val="es-AR" w:eastAsia="es-AR" w:bidi="es-AR"/>
        </w:rPr>
        <w:t>Análisis descriptivo · estacionalidad · comportamiento horario · clustering · pronóstico y validación</w:t>
      </w:r>
    </w:p>
    <w:p>
      <w:pPr>
        <w:jc w:val="center"/>
      </w:pPr>
      <w:r>
        <w:rPr>
          <w:color w:val="000000"/>
          <w:lang w:val="es-AR" w:eastAsia="es-AR" w:bidi="es-AR"/>
        </w:rPr>
        <w:t>━━━━━━━━━━━━━━━━━━━━━━━━━━━━━━━━━━━━━━━━</w:t>
      </w:r>
    </w:p>
    <w:p>
      <w:pPr>
        <w:spacing w:before="1200"/>
        <w:jc w:val="center"/>
      </w:pPr>
      <w:r>
        <w:rPr>
          <w:b/>
          <w:sz w:val="24"/>
          <w:color w:val="000000"/>
          <w:lang w:val="es-AR" w:eastAsia="es-AR" w:bidi="es-AR"/>
        </w:rPr>
        <w:t>Versión V2.1</w:t>
      </w:r>
    </w:p>
    <w:p>
      <w:pPr>
        <w:jc w:val="center"/>
      </w:pPr>
      <w:r>
        <w:rPr>
          <w:sz w:val="20"/>
          <w:color w:val="000000"/>
          <w:lang w:val="es-AR" w:eastAsia="es-AR" w:bidi="es-AR"/>
        </w:rPr>
        <w:t>Base analizada: 30.648 registros horarios · 22 provincias · 01/01/2023 a 30/06/2026</w:t>
      </w:r>
    </w:p>
    <w:p>
      <w:pPr>
        <w:spacing w:before="900"/>
        <w:jc w:val="center"/>
      </w:pPr>
      <w:r>
        <w:rPr>
          <w:color w:val="000000"/>
          <w:sz w:val="20"/>
          <w:lang w:val="es-AR" w:eastAsia="es-AR" w:bidi="es-AR"/>
        </w:rPr>
        <w:t>Agosto de 2026</w:t>
      </w:r>
    </w:p>
    <w:p>
      <w:r>
        <w:rPr>
          <w:color w:val="000000"/>
          <w:lang w:val="es-AR" w:eastAsia="es-AR" w:bidi="es-AR"/>
        </w:rPr>
        <w:br w:type="page"/>
      </w:r>
    </w:p>
    <w:p>
      <w:pPr>
        <w:pStyle w:val="Title"/>
        <w:jc w:val="left"/>
      </w:pPr>
      <w:r>
        <w:rPr>
          <w:color w:val="000000"/>
          <w:lang w:val="es-AR" w:eastAsia="es-AR" w:bidi="es-AR"/>
        </w:rPr>
        <w:t>Índice</w:t>
      </w:r>
    </w:p>
    <w:p>
      <w:pPr>
        <w:spacing w:after="60"/>
        <w:ind w:left="160"/>
      </w:pPr>
      <w:hyperlink w:anchor="sec_1_Resumen_ejecutivo" w:history="1">
        <w:r>
          <w:rPr>
            <w:color w:val="000000"/>
            <w:u w:val="single"/>
            <w:sz w:val="20"/>
            <w:lang w:val="es-AR" w:eastAsia="es-AR" w:bidi="es-AR"/>
          </w:rPr>
          <w:t>Resumen ejecutivo</w:t>
        </w:r>
      </w:hyperlink>
    </w:p>
    <w:p>
      <w:pPr>
        <w:spacing w:after="60"/>
        <w:ind w:left="160"/>
      </w:pPr>
      <w:hyperlink w:anchor="sec_2_1_Objetivo_y_alcance_del_proye" w:history="1">
        <w:r>
          <w:rPr>
            <w:color w:val="000000"/>
            <w:u w:val="single"/>
            <w:sz w:val="20"/>
            <w:lang w:val="es-AR" w:eastAsia="es-AR" w:bidi="es-AR"/>
          </w:rPr>
          <w:t>1. Objetivo y alcance del proyecto</w:t>
        </w:r>
      </w:hyperlink>
    </w:p>
    <w:p>
      <w:pPr>
        <w:spacing w:after="60"/>
        <w:ind w:left="160"/>
      </w:pPr>
      <w:hyperlink w:anchor="sec_3_2_Datos_y_control_de_calidad" w:history="1">
        <w:r>
          <w:rPr>
            <w:color w:val="000000"/>
            <w:u w:val="single"/>
            <w:sz w:val="20"/>
            <w:lang w:val="es-AR" w:eastAsia="es-AR" w:bidi="es-AR"/>
          </w:rPr>
          <w:t>2. Datos y control de calidad</w:t>
        </w:r>
      </w:hyperlink>
    </w:p>
    <w:p>
      <w:pPr>
        <w:spacing w:after="60"/>
        <w:ind w:left="160"/>
      </w:pPr>
      <w:hyperlink w:anchor="sec_4_3_Arquitectura_anal_tica_y_her" w:history="1">
        <w:r>
          <w:rPr>
            <w:color w:val="000000"/>
            <w:u w:val="single"/>
            <w:sz w:val="20"/>
            <w:lang w:val="es-AR" w:eastAsia="es-AR" w:bidi="es-AR"/>
          </w:rPr>
          <w:t>3. Arquitectura analítica y herramientas</w:t>
        </w:r>
      </w:hyperlink>
    </w:p>
    <w:p>
      <w:pPr>
        <w:spacing w:after="60"/>
        <w:ind w:left="160"/>
      </w:pPr>
      <w:hyperlink w:anchor="sec_5_4_Evoluci_n_de_la_demanda_naci" w:history="1">
        <w:r>
          <w:rPr>
            <w:color w:val="000000"/>
            <w:u w:val="single"/>
            <w:sz w:val="20"/>
            <w:lang w:val="es-AR" w:eastAsia="es-AR" w:bidi="es-AR"/>
          </w:rPr>
          <w:t>4. Evolución de la demanda nacional</w:t>
        </w:r>
      </w:hyperlink>
    </w:p>
    <w:p>
      <w:pPr>
        <w:spacing w:after="60"/>
        <w:ind w:left="160"/>
      </w:pPr>
      <w:hyperlink w:anchor="sec_6_5_Estructura_territorial_de_la" w:history="1">
        <w:r>
          <w:rPr>
            <w:color w:val="000000"/>
            <w:u w:val="single"/>
            <w:sz w:val="20"/>
            <w:lang w:val="es-AR" w:eastAsia="es-AR" w:bidi="es-AR"/>
          </w:rPr>
          <w:t>5. Estructura territorial de la demanda</w:t>
        </w:r>
      </w:hyperlink>
    </w:p>
    <w:p>
      <w:pPr>
        <w:spacing w:after="60"/>
        <w:ind w:left="160"/>
      </w:pPr>
      <w:hyperlink w:anchor="sec_7_6_Estacionalidad_mensual" w:history="1">
        <w:r>
          <w:rPr>
            <w:color w:val="000000"/>
            <w:u w:val="single"/>
            <w:sz w:val="20"/>
            <w:lang w:val="es-AR" w:eastAsia="es-AR" w:bidi="es-AR"/>
          </w:rPr>
          <w:t>6. Estacionalidad mensual</w:t>
        </w:r>
      </w:hyperlink>
    </w:p>
    <w:p>
      <w:pPr>
        <w:spacing w:after="60"/>
        <w:ind w:left="160"/>
      </w:pPr>
      <w:hyperlink w:anchor="sec_8_7_Tipo_de_d_a_y_comportamiento" w:history="1">
        <w:r>
          <w:rPr>
            <w:color w:val="000000"/>
            <w:u w:val="single"/>
            <w:sz w:val="20"/>
            <w:lang w:val="es-AR" w:eastAsia="es-AR" w:bidi="es-AR"/>
          </w:rPr>
          <w:t>7. Tipo de día y comportamiento horario</w:t>
        </w:r>
      </w:hyperlink>
    </w:p>
    <w:p>
      <w:pPr>
        <w:spacing w:after="60"/>
        <w:ind w:left="160"/>
      </w:pPr>
      <w:hyperlink w:anchor="sec_9_8_An_lisis_avanzado_patrones_p" w:history="1">
        <w:r>
          <w:rPr>
            <w:color w:val="000000"/>
            <w:u w:val="single"/>
            <w:sz w:val="20"/>
            <w:lang w:val="es-AR" w:eastAsia="es-AR" w:bidi="es-AR"/>
          </w:rPr>
          <w:t>8. Análisis avanzado: patrones provinciales</w:t>
        </w:r>
      </w:hyperlink>
    </w:p>
    <w:p>
      <w:pPr>
        <w:spacing w:after="60"/>
        <w:ind w:left="160"/>
      </w:pPr>
      <w:hyperlink w:anchor="sec_10_9_Pron_stico_y_validaci_n" w:history="1">
        <w:r>
          <w:rPr>
            <w:color w:val="000000"/>
            <w:u w:val="single"/>
            <w:sz w:val="20"/>
            <w:lang w:val="es-AR" w:eastAsia="es-AR" w:bidi="es-AR"/>
          </w:rPr>
          <w:t>9. Pronóstico y validación</w:t>
        </w:r>
      </w:hyperlink>
    </w:p>
    <w:p>
      <w:pPr>
        <w:spacing w:after="60"/>
        <w:ind w:left="160"/>
      </w:pPr>
      <w:hyperlink w:anchor="sec_11_10_Interpretaci_n_integrada_de" w:history="1">
        <w:r>
          <w:rPr>
            <w:color w:val="000000"/>
            <w:u w:val="single"/>
            <w:sz w:val="20"/>
            <w:lang w:val="es-AR" w:eastAsia="es-AR" w:bidi="es-AR"/>
          </w:rPr>
          <w:t>10. Interpretación integrada de los resultados</w:t>
        </w:r>
      </w:hyperlink>
    </w:p>
    <w:p>
      <w:pPr>
        <w:spacing w:after="60"/>
        <w:ind w:left="160"/>
      </w:pPr>
      <w:hyperlink w:anchor="sec_12_11_Limitaciones_y_cautelas" w:history="1">
        <w:r>
          <w:rPr>
            <w:color w:val="000000"/>
            <w:u w:val="single"/>
            <w:sz w:val="20"/>
            <w:lang w:val="es-AR" w:eastAsia="es-AR" w:bidi="es-AR"/>
          </w:rPr>
          <w:t>11. Limitaciones y cautelas</w:t>
        </w:r>
      </w:hyperlink>
    </w:p>
    <w:p>
      <w:pPr>
        <w:spacing w:after="60"/>
        <w:ind w:left="160"/>
      </w:pPr>
      <w:hyperlink w:anchor="sec_13_12_Recomendaci_n_evoluci_n_a_P" w:history="1">
        <w:r>
          <w:rPr>
            <w:color w:val="000000"/>
            <w:u w:val="single"/>
            <w:sz w:val="20"/>
            <w:lang w:val="es-AR" w:eastAsia="es-AR" w:bidi="es-AR"/>
          </w:rPr>
          <w:t>12. Recomendación: evolución a Power BI</w:t>
        </w:r>
      </w:hyperlink>
    </w:p>
    <w:p>
      <w:pPr>
        <w:spacing w:after="60"/>
        <w:ind w:left="160"/>
      </w:pPr>
      <w:hyperlink w:anchor="sec_14_13_Conclusiones_finales" w:history="1">
        <w:r>
          <w:rPr>
            <w:color w:val="000000"/>
            <w:u w:val="single"/>
            <w:sz w:val="20"/>
            <w:lang w:val="es-AR" w:eastAsia="es-AR" w:bidi="es-AR"/>
          </w:rPr>
          <w:t>13. Conclusiones finales</w:t>
        </w:r>
      </w:hyperlink>
    </w:p>
    <w:p>
      <w:pPr>
        <w:spacing w:after="60"/>
        <w:ind w:left="160"/>
      </w:pPr>
      <w:hyperlink w:anchor="sec_15_Anexo_A_Validaci_n_metodol_gic" w:history="1">
        <w:r>
          <w:rPr>
            <w:color w:val="000000"/>
            <w:u w:val="single"/>
            <w:sz w:val="20"/>
            <w:lang w:val="es-AR" w:eastAsia="es-AR" w:bidi="es-AR"/>
          </w:rPr>
          <w:t>Anexo A. Validación metodológica del número de clusters</w:t>
        </w:r>
      </w:hyperlink>
    </w:p>
    <w:p>
      <w:pPr>
        <w:spacing w:after="60"/>
        <w:ind w:left="160"/>
      </w:pPr>
      <w:hyperlink w:anchor="sec_16_Anexo_B_Indicadores_protagonis" w:history="1">
        <w:r>
          <w:rPr>
            <w:color w:val="000000"/>
            <w:u w:val="single"/>
            <w:sz w:val="20"/>
            <w:lang w:val="es-AR" w:eastAsia="es-AR" w:bidi="es-AR"/>
          </w:rPr>
          <w:t>Anexo B. Indicadores protagonistas</w:t>
        </w:r>
      </w:hyperlink>
    </w:p>
    <w:p>
      <w:pPr>
        <w:spacing w:after="60"/>
        <w:ind w:left="160"/>
      </w:pPr>
      <w:hyperlink w:anchor="sec_17_Anexo_C_Criterios_de_presentac" w:history="1">
        <w:r>
          <w:rPr>
            <w:color w:val="000000"/>
            <w:u w:val="single"/>
            <w:sz w:val="20"/>
            <w:lang w:val="es-AR" w:eastAsia="es-AR" w:bidi="es-AR"/>
          </w:rPr>
          <w:t>Anexo C. Criterios de presentación</w:t>
        </w:r>
      </w:hyperlink>
    </w:p>
    <w:p>
      <w:pPr>
        <w:spacing w:before="160"/>
      </w:pPr>
      <w:r>
        <w:rPr>
          <w:i/>
          <w:color w:val="000000"/>
          <w:sz w:val="18"/>
          <w:lang w:val="es-AR" w:eastAsia="es-AR" w:bidi="es-AR"/>
        </w:rPr>
        <w:t>Seleccione un título para ir directamente a esa sección.</w:t>
      </w:r>
    </w:p>
    <w:p>
      <w:r>
        <w:rPr>
          <w:color w:val="000000"/>
          <w:lang w:val="es-AR" w:eastAsia="es-AR" w:bidi="es-AR"/>
        </w:rPr>
        <w:br w:type="page"/>
      </w:r>
    </w:p>
    <w:p>
      <w:bookmarkStart w:id="1" w:name="sec_1_Resumen_ejecutivo"/>
      <w:pPr>
        <w:pStyle w:val="Heading1"/>
      </w:pPr>
      <w:r>
        <w:rPr>
          <w:color w:val="000000"/>
          <w:lang w:val="es-AR" w:eastAsia="es-AR" w:bidi="es-AR"/>
        </w:rPr>
        <w:t>Resumen ejecutivo</w:t>
      </w:r>
      <w:bookmarkEnd w:id="1"/>
    </w:p>
    <w:p>
      <w:r>
        <w:rPr>
          <w:color w:val="000000"/>
          <w:lang w:val="es-AR" w:eastAsia="es-AR" w:bidi="es-AR"/>
        </w:rPr>
        <w:t>El proyecto analiza la demanda eléctrica horaria provincial de Argentina con una base de alta integridad temporal. La versión final depura el código original, corrige la carga del archivo, prioriza indicadores con valor analítico y valida el pronóstico con datos reservados fuera de muestra. El objetivo no es mostrar la mayor cantidad de estadísticas, sino responder con claridad dónde, cuándo y cómo se consume electricidad, qué territorios cambiaron y qué capacidad predictiva ofrecen distintos modelos.</w:t>
      </w:r>
    </w:p>
    <w:tbl>
      <w:tblPr>
        <w:tblW w:type="auto" w:w="0"/>
        <w:jc w:val="center"/>
        <w:tblLook w:firstColumn="1" w:firstRow="1" w:lastColumn="0" w:lastRow="0" w:noHBand="0" w:noVBand="1" w:val="04A0"/>
      </w:tblPr>
      <w:tblGrid>
        <w:gridCol w:w="4819"/>
        <w:gridCol w:w="4819"/>
      </w:tblGrid>
      <w:tr>
        <w:tc>
          <w:tcPr>
            <w:tcW w:type="dxa" w:w="4819"/>
            <w:shd w:fill="EAF4F5"/>
            <w:tcMar>
              <w:top w:w="170" w:type="dxa"/>
              <w:start w:w="180" w:type="dxa"/>
              <w:bottom w:w="170" w:type="dxa"/>
              <w:end w:w="180" w:type="dxa"/>
            </w:tcMar>
          </w:tcPr>
          <w:p>
            <w:pPr>
              <w:jc w:val="center"/>
            </w:pPr>
            <w:r>
              <w:rPr>
                <w:b/>
                <w:color w:val="000000"/>
                <w:sz w:val="18"/>
                <w:lang w:val="es-AR" w:eastAsia="es-AR" w:bidi="es-AR"/>
              </w:rPr>
              <w:t>Demanda nacional 2025</w:t>
              <w:br/>
            </w:r>
            <w:r>
              <w:rPr>
                <w:b/>
                <w:color w:val="000000"/>
                <w:sz w:val="36"/>
                <w:lang w:val="es-AR" w:eastAsia="es-AR" w:bidi="es-AR"/>
              </w:rPr>
              <w:t>141,25 TWh</w:t>
              <w:br/>
            </w:r>
            <w:r>
              <w:rPr>
                <w:color w:val="000000"/>
                <w:sz w:val="17"/>
                <w:lang w:val="es-AR" w:eastAsia="es-AR" w:bidi="es-AR"/>
              </w:rPr>
              <w:t>+0,74 % vs. 2024</w:t>
            </w:r>
          </w:p>
        </w:tc>
        <w:tc>
          <w:tcPr>
            <w:tcW w:type="dxa" w:w="4819"/>
            <w:shd w:fill="F2F7F8"/>
            <w:tcMar>
              <w:top w:w="170" w:type="dxa"/>
              <w:start w:w="180" w:type="dxa"/>
              <w:bottom w:w="170" w:type="dxa"/>
              <w:end w:w="180" w:type="dxa"/>
            </w:tcMar>
          </w:tcPr>
          <w:p>
            <w:pPr>
              <w:jc w:val="center"/>
            </w:pPr>
            <w:r>
              <w:rPr>
                <w:b/>
                <w:color w:val="000000"/>
                <w:sz w:val="18"/>
                <w:lang w:val="es-AR" w:eastAsia="es-AR" w:bidi="es-AR"/>
              </w:rPr>
              <w:t>Concentración territorial</w:t>
              <w:br/>
            </w:r>
            <w:r>
              <w:rPr>
                <w:b/>
                <w:color w:val="000000"/>
                <w:sz w:val="36"/>
                <w:lang w:val="es-AR" w:eastAsia="es-AR" w:bidi="es-AR"/>
              </w:rPr>
              <w:t>73,49 %</w:t>
              <w:br/>
            </w:r>
            <w:r>
              <w:rPr>
                <w:color w:val="000000"/>
                <w:sz w:val="17"/>
                <w:lang w:val="es-AR" w:eastAsia="es-AR" w:bidi="es-AR"/>
              </w:rPr>
              <w:t>Top 5 provincias en 2025</w:t>
            </w:r>
          </w:p>
        </w:tc>
      </w:tr>
      <w:tr>
        <w:tc>
          <w:tcPr>
            <w:tcW w:type="dxa" w:w="4819"/>
            <w:shd w:fill="EAF4F5"/>
            <w:tcMar>
              <w:top w:w="170" w:type="dxa"/>
              <w:start w:w="180" w:type="dxa"/>
              <w:bottom w:w="170" w:type="dxa"/>
              <w:end w:w="180" w:type="dxa"/>
            </w:tcMar>
          </w:tcPr>
          <w:p>
            <w:pPr>
              <w:jc w:val="center"/>
            </w:pPr>
            <w:r>
              <w:rPr>
                <w:b/>
                <w:color w:val="000000"/>
                <w:sz w:val="18"/>
                <w:lang w:val="es-AR" w:eastAsia="es-AR" w:bidi="es-AR"/>
              </w:rPr>
              <w:t>Efecto no hábil</w:t>
              <w:br/>
            </w:r>
            <w:r>
              <w:rPr>
                <w:b/>
                <w:color w:val="000000"/>
                <w:sz w:val="36"/>
                <w:lang w:val="es-AR" w:eastAsia="es-AR" w:bidi="es-AR"/>
              </w:rPr>
              <w:t>−11,58 %</w:t>
              <w:br/>
            </w:r>
            <w:r>
              <w:rPr>
                <w:color w:val="000000"/>
                <w:sz w:val="17"/>
                <w:lang w:val="es-AR" w:eastAsia="es-AR" w:bidi="es-AR"/>
              </w:rPr>
              <w:t>Reducción media 2023–2025</w:t>
            </w:r>
          </w:p>
        </w:tc>
        <w:tc>
          <w:tcPr>
            <w:tcW w:type="dxa" w:w="4819"/>
            <w:shd w:fill="F2F7F8"/>
            <w:tcMar>
              <w:top w:w="170" w:type="dxa"/>
              <w:start w:w="180" w:type="dxa"/>
              <w:bottom w:w="170" w:type="dxa"/>
              <w:end w:w="180" w:type="dxa"/>
            </w:tcMar>
          </w:tcPr>
          <w:p>
            <w:pPr>
              <w:jc w:val="center"/>
            </w:pPr>
            <w:r>
              <w:rPr>
                <w:b/>
                <w:color w:val="000000"/>
                <w:sz w:val="18"/>
                <w:lang w:val="es-AR" w:eastAsia="es-AR" w:bidi="es-AR"/>
              </w:rPr>
              <w:t>Perfil horario</w:t>
              <w:br/>
            </w:r>
            <w:r>
              <w:rPr>
                <w:b/>
                <w:color w:val="000000"/>
                <w:sz w:val="36"/>
                <w:lang w:val="es-AR" w:eastAsia="es-AR" w:bidi="es-AR"/>
              </w:rPr>
              <w:t>05:00 → 22:00</w:t>
              <w:br/>
            </w:r>
            <w:r>
              <w:rPr>
                <w:color w:val="000000"/>
                <w:sz w:val="17"/>
                <w:lang w:val="es-AR" w:eastAsia="es-AR" w:bidi="es-AR"/>
              </w:rPr>
              <w:t>Valle medio → pico medio</w:t>
            </w:r>
          </w:p>
        </w:tc>
      </w:tr>
      <w:tr>
        <w:tc>
          <w:tcPr>
            <w:tcW w:type="dxa" w:w="4819"/>
            <w:shd w:fill="EAF4F5"/>
            <w:tcMar>
              <w:top w:w="170" w:type="dxa"/>
              <w:start w:w="180" w:type="dxa"/>
              <w:bottom w:w="170" w:type="dxa"/>
              <w:end w:w="180" w:type="dxa"/>
            </w:tcMar>
          </w:tcPr>
          <w:p>
            <w:pPr>
              <w:jc w:val="center"/>
            </w:pPr>
            <w:r>
              <w:rPr>
                <w:b/>
                <w:color w:val="000000"/>
                <w:sz w:val="18"/>
                <w:lang w:val="es-AR" w:eastAsia="es-AR" w:bidi="es-AR"/>
              </w:rPr>
              <w:t>Amplitud pico–valle</w:t>
              <w:br/>
            </w:r>
            <w:r>
              <w:rPr>
                <w:b/>
                <w:color w:val="000000"/>
                <w:sz w:val="36"/>
                <w:lang w:val="es-AR" w:eastAsia="es-AR" w:bidi="es-AR"/>
              </w:rPr>
              <w:t>37,85 %</w:t>
              <w:br/>
            </w:r>
            <w:r>
              <w:rPr>
                <w:color w:val="000000"/>
                <w:sz w:val="17"/>
                <w:lang w:val="es-AR" w:eastAsia="es-AR" w:bidi="es-AR"/>
              </w:rPr>
              <w:t>Perfil horario promedio</w:t>
            </w:r>
          </w:p>
        </w:tc>
        <w:tc>
          <w:tcPr>
            <w:tcW w:type="dxa" w:w="4819"/>
            <w:shd w:fill="F2F7F8"/>
            <w:tcMar>
              <w:top w:w="170" w:type="dxa"/>
              <w:start w:w="180" w:type="dxa"/>
              <w:bottom w:w="170" w:type="dxa"/>
              <w:end w:w="180" w:type="dxa"/>
            </w:tcMar>
          </w:tcPr>
          <w:p>
            <w:pPr>
              <w:jc w:val="center"/>
            </w:pPr>
            <w:r>
              <w:rPr>
                <w:b/>
                <w:color w:val="000000"/>
                <w:sz w:val="18"/>
                <w:lang w:val="es-AR" w:eastAsia="es-AR" w:bidi="es-AR"/>
              </w:rPr>
              <w:t>Pico absoluto observado</w:t>
              <w:br/>
            </w:r>
            <w:r>
              <w:rPr>
                <w:b/>
                <w:color w:val="000000"/>
                <w:sz w:val="36"/>
                <w:lang w:val="es-AR" w:eastAsia="es-AR" w:bidi="es-AR"/>
              </w:rPr>
              <w:t>28.094 MWh</w:t>
              <w:br/>
            </w:r>
            <w:r>
              <w:rPr>
                <w:color w:val="000000"/>
                <w:sz w:val="17"/>
                <w:lang w:val="es-AR" w:eastAsia="es-AR" w:bidi="es-AR"/>
              </w:rPr>
              <w:t>10/02/2025 · 16:00</w:t>
            </w:r>
          </w:p>
        </w:tc>
      </w:tr>
      <w:tr>
        <w:tc>
          <w:tcPr>
            <w:tcW w:type="dxa" w:w="4819"/>
            <w:shd w:fill="EAF4F5"/>
            <w:tcMar>
              <w:top w:w="170" w:type="dxa"/>
              <w:start w:w="180" w:type="dxa"/>
              <w:bottom w:w="170" w:type="dxa"/>
              <w:end w:w="180" w:type="dxa"/>
            </w:tcMar>
          </w:tcPr>
          <w:p>
            <w:pPr>
              <w:jc w:val="center"/>
            </w:pPr>
            <w:r>
              <w:rPr>
                <w:b/>
                <w:color w:val="000000"/>
                <w:sz w:val="18"/>
                <w:lang w:val="es-AR" w:eastAsia="es-AR" w:bidi="es-AR"/>
              </w:rPr>
              <w:t>Patrones provinciales</w:t>
              <w:br/>
            </w:r>
            <w:r>
              <w:rPr>
                <w:b/>
                <w:color w:val="000000"/>
                <w:sz w:val="36"/>
                <w:lang w:val="es-AR" w:eastAsia="es-AR" w:bidi="es-AR"/>
              </w:rPr>
              <w:t>3 clusters</w:t>
              <w:br/>
            </w:r>
            <w:r>
              <w:rPr>
                <w:color w:val="000000"/>
                <w:sz w:val="17"/>
                <w:lang w:val="es-AR" w:eastAsia="es-AR" w:bidi="es-AR"/>
              </w:rPr>
              <w:t>Selección por calidad + estabilidad</w:t>
            </w:r>
          </w:p>
        </w:tc>
        <w:tc>
          <w:tcPr>
            <w:tcW w:type="dxa" w:w="4819"/>
            <w:shd w:fill="F2F7F8"/>
            <w:tcMar>
              <w:top w:w="170" w:type="dxa"/>
              <w:start w:w="180" w:type="dxa"/>
              <w:bottom w:w="170" w:type="dxa"/>
              <w:end w:w="180" w:type="dxa"/>
            </w:tcMar>
          </w:tcPr>
          <w:p>
            <w:pPr>
              <w:jc w:val="center"/>
            </w:pPr>
            <w:r>
              <w:rPr>
                <w:b/>
                <w:color w:val="000000"/>
                <w:sz w:val="18"/>
                <w:lang w:val="es-AR" w:eastAsia="es-AR" w:bidi="es-AR"/>
              </w:rPr>
              <w:t>Pronóstico robusto</w:t>
              <w:br/>
            </w:r>
            <w:r>
              <w:rPr>
                <w:b/>
                <w:color w:val="000000"/>
                <w:sz w:val="36"/>
                <w:lang w:val="es-AR" w:eastAsia="es-AR" w:bidi="es-AR"/>
              </w:rPr>
              <w:t>6,42 % WAPE</w:t>
              <w:br/>
            </w:r>
            <w:r>
              <w:rPr>
                <w:color w:val="000000"/>
                <w:sz w:val="17"/>
                <w:lang w:val="es-AR" w:eastAsia="es-AR" w:bidi="es-AR"/>
              </w:rPr>
              <w:t>ETS · promedio de validaciones</w:t>
            </w:r>
          </w:p>
        </w:tc>
      </w:tr>
    </w:tbl>
    <w:p/>
    <w:tbl>
      <w:tblPr>
        <w:tblW w:type="auto" w:w="0"/>
        <w:jc w:val="center"/>
        <w:tblLook w:firstColumn="1" w:firstRow="1" w:lastColumn="0" w:lastRow="0" w:noHBand="0" w:noVBand="1" w:val="04A0"/>
      </w:tblPr>
      <w:tblGrid>
        <w:gridCol w:w="9638"/>
      </w:tblGrid>
      <w:tr>
        <w:trPr>
          <w:cantSplit w:val="1"/>
        </w:trPr>
        <w:tc>
          <w:tcPr>
            <w:tcW w:type="dxa" w:w="9638"/>
            <w:shd w:fill="EAF4F5"/>
            <w:tcMar>
              <w:top w:w="160" w:type="dxa"/>
              <w:start w:w="180" w:type="dxa"/>
              <w:bottom w:w="160" w:type="dxa"/>
              <w:end w:w="180" w:type="dxa"/>
            </w:tcMar>
          </w:tcPr>
          <w:p>
            <w:r>
              <w:rPr>
                <w:b/>
                <w:color w:val="000000"/>
                <w:sz w:val="22"/>
                <w:lang w:val="es-AR" w:eastAsia="es-AR" w:bidi="es-AR"/>
              </w:rPr>
              <w:t>Conclusión central</w:t>
              <w:br/>
            </w:r>
            <w:r>
              <w:rPr>
                <w:sz w:val="20"/>
                <w:color w:val="000000"/>
                <w:lang w:val="es-AR" w:eastAsia="es-AR" w:bidi="es-AR"/>
              </w:rPr>
              <w:t>La demanda nacional fue casi estable entre 2023 y 2025 (+0,26 %), pero esa estabilidad agregada oculta diferencias provinciales importantes. El consumo también presenta patrones temporales consistentes: los días no hábiles reducen la demanda alrededor de 11–12 %, el valle horario medio se ubica a las 05:00 y el pico medio a las 22:00. En pronóstico, XGBoost fue el mejor en 2026, pero ETS resultó más estable al considerar más de un período fuera de muestra.</w:t>
            </w:r>
          </w:p>
        </w:tc>
      </w:tr>
    </w:tbl>
    <w:p/>
    <w:p>
      <w:pPr>
        <w:pStyle w:val="Heading2"/>
      </w:pPr>
      <w:r>
        <w:rPr>
          <w:color w:val="000000"/>
          <w:lang w:val="es-AR" w:eastAsia="es-AR" w:bidi="es-AR"/>
        </w:rPr>
        <w:t>Hallazgos principales</w:t>
      </w:r>
    </w:p>
    <w:p>
      <w:pPr>
        <w:pStyle w:val="ListBullet"/>
        <w:spacing w:after="40"/>
      </w:pPr>
      <w:r>
        <w:rPr>
          <w:color w:val="000000"/>
          <w:lang w:val="es-AR" w:eastAsia="es-AR" w:bidi="es-AR"/>
        </w:rPr>
        <w:t>La demanda nacional pasó de 140,88 TWh en 2023 a 141,25 TWh en 2025: un crecimiento acumulado de apenas 0,26 %.</w:t>
      </w:r>
    </w:p>
    <w:p>
      <w:pPr>
        <w:pStyle w:val="ListBullet"/>
        <w:spacing w:after="40"/>
      </w:pPr>
      <w:r>
        <w:rPr>
          <w:color w:val="000000"/>
          <w:lang w:val="es-AR" w:eastAsia="es-AR" w:bidi="es-AR"/>
        </w:rPr>
        <w:t>Buenos Aires concentró 49,00 % de la demanda 2025 y las cinco provincias principales reunieron 73,49 %.</w:t>
      </w:r>
    </w:p>
    <w:p>
      <w:pPr>
        <w:pStyle w:val="ListBullet"/>
        <w:spacing w:after="40"/>
      </w:pPr>
      <w:r>
        <w:rPr>
          <w:color w:val="000000"/>
          <w:lang w:val="es-AR" w:eastAsia="es-AR" w:bidi="es-AR"/>
        </w:rPr>
        <w:t>Chubut registró el mayor crecimiento acumulado 2023–2025 (+15,99 %), mientras Jujuy presentó la mayor caída (−3,80 %).</w:t>
      </w:r>
    </w:p>
    <w:p>
      <w:pPr>
        <w:pStyle w:val="ListBullet"/>
        <w:spacing w:after="40"/>
      </w:pPr>
      <w:r>
        <w:rPr>
          <w:color w:val="000000"/>
          <w:lang w:val="es-AR" w:eastAsia="es-AR" w:bidi="es-AR"/>
        </w:rPr>
        <w:t>Los días no hábiles consumieron, en promedio, 11,58 % menos que los hábiles durante 2023–2025.</w:t>
      </w:r>
    </w:p>
    <w:p>
      <w:pPr>
        <w:pStyle w:val="ListBullet"/>
        <w:spacing w:after="40"/>
      </w:pPr>
      <w:r>
        <w:rPr>
          <w:color w:val="000000"/>
          <w:lang w:val="es-AR" w:eastAsia="es-AR" w:bidi="es-AR"/>
        </w:rPr>
        <w:t>La curva horaria promedio tuvo su valle a las 05:00 y su pico a las 22:00, con una amplitud de 37,85 %.</w:t>
      </w:r>
    </w:p>
    <w:p>
      <w:pPr>
        <w:pStyle w:val="ListBullet"/>
        <w:spacing w:after="40"/>
      </w:pPr>
      <w:r>
        <w:rPr>
          <w:color w:val="000000"/>
          <w:lang w:val="es-AR" w:eastAsia="es-AR" w:bidi="es-AR"/>
        </w:rPr>
        <w:t>La evaluación de clustering favoreció 3 patrones provinciales al equilibrar separación interna y estabilidad entre años.</w:t>
      </w:r>
    </w:p>
    <w:p>
      <w:pPr>
        <w:pStyle w:val="ListBullet"/>
        <w:spacing w:after="40"/>
      </w:pPr>
      <w:r>
        <w:rPr>
          <w:color w:val="000000"/>
          <w:lang w:val="es-AR" w:eastAsia="es-AR" w:bidi="es-AR"/>
        </w:rPr>
        <w:t>ETS obtuvo el menor WAPE medio en las validaciones (6,42 %); XGBoost logró el mejor resultado específico en enero–junio 2026 (4,63 %).</w:t>
      </w:r>
    </w:p>
    <w:p>
      <w:r>
        <w:rPr>
          <w:color w:val="000000"/>
          <w:lang w:val="es-AR" w:eastAsia="es-AR" w:bidi="es-AR"/>
        </w:rPr>
        <w:br w:type="page"/>
      </w:r>
    </w:p>
    <w:p>
      <w:bookmarkStart w:id="2" w:name="sec_2_1_Objetivo_y_alcance_del_proye"/>
      <w:pPr>
        <w:pStyle w:val="Heading1"/>
      </w:pPr>
      <w:r>
        <w:rPr>
          <w:color w:val="000000"/>
          <w:lang w:val="es-AR" w:eastAsia="es-AR" w:bidi="es-AR"/>
        </w:rPr>
        <w:t>1. Objetivo y alcance del proyecto</w:t>
      </w:r>
      <w:bookmarkEnd w:id="2"/>
    </w:p>
    <w:p>
      <w:r>
        <w:rPr>
          <w:color w:val="000000"/>
          <w:lang w:val="es-AR" w:eastAsia="es-AR" w:bidi="es-AR"/>
        </w:rPr>
        <w:t>El proyecto parte de registros horarios de demanda eléctrica por provincia y busca transformar una base operativa extensa en información útil, reproducible y defendible estadísticamente. La versión final se diseñó con un criterio de selección: cada métrica y cada gráfico debe responder una pregunta concreta y aportar una conclusión diferente.</w:t>
      </w:r>
    </w:p>
    <w:p>
      <w:pPr>
        <w:pStyle w:val="Heading2"/>
      </w:pPr>
      <w:r>
        <w:rPr>
          <w:color w:val="000000"/>
          <w:lang w:val="es-AR" w:eastAsia="es-AR" w:bidi="es-AR"/>
        </w:rPr>
        <w:t>1.1 Preguntas que responde</w:t>
      </w:r>
    </w:p>
    <w:p>
      <w:pPr>
        <w:pStyle w:val="ListBullet"/>
        <w:spacing w:after="40"/>
      </w:pPr>
      <w:r>
        <w:rPr>
          <w:color w:val="000000"/>
          <w:lang w:val="es-AR" w:eastAsia="es-AR" w:bidi="es-AR"/>
        </w:rPr>
        <w:t>¿Cuál es el nivel de demanda nacional y cómo evolucionó entre años?</w:t>
      </w:r>
    </w:p>
    <w:p>
      <w:pPr>
        <w:pStyle w:val="ListBullet"/>
        <w:spacing w:after="40"/>
      </w:pPr>
      <w:r>
        <w:rPr>
          <w:color w:val="000000"/>
          <w:lang w:val="es-AR" w:eastAsia="es-AR" w:bidi="es-AR"/>
        </w:rPr>
        <w:t>¿En qué provincias se concentra la demanda?</w:t>
      </w:r>
    </w:p>
    <w:p>
      <w:pPr>
        <w:pStyle w:val="ListBullet"/>
        <w:spacing w:after="40"/>
      </w:pPr>
      <w:r>
        <w:rPr>
          <w:color w:val="000000"/>
          <w:lang w:val="es-AR" w:eastAsia="es-AR" w:bidi="es-AR"/>
        </w:rPr>
        <w:t>¿Qué provincias crecieron y cuáles disminuyeron?</w:t>
      </w:r>
    </w:p>
    <w:p>
      <w:pPr>
        <w:pStyle w:val="ListBullet"/>
        <w:spacing w:after="40"/>
      </w:pPr>
      <w:r>
        <w:rPr>
          <w:color w:val="000000"/>
          <w:lang w:val="es-AR" w:eastAsia="es-AR" w:bidi="es-AR"/>
        </w:rPr>
        <w:t>¿Cómo se comporta la demanda a lo largo del año?</w:t>
      </w:r>
    </w:p>
    <w:p>
      <w:pPr>
        <w:pStyle w:val="ListBullet"/>
        <w:spacing w:after="40"/>
      </w:pPr>
      <w:r>
        <w:rPr>
          <w:color w:val="000000"/>
          <w:lang w:val="es-AR" w:eastAsia="es-AR" w:bidi="es-AR"/>
        </w:rPr>
        <w:t>¿Qué diferencia existe entre días hábiles y no hábiles?</w:t>
      </w:r>
    </w:p>
    <w:p>
      <w:pPr>
        <w:pStyle w:val="ListBullet"/>
        <w:spacing w:after="40"/>
      </w:pPr>
      <w:r>
        <w:rPr>
          <w:color w:val="000000"/>
          <w:lang w:val="es-AR" w:eastAsia="es-AR" w:bidi="es-AR"/>
        </w:rPr>
        <w:t>¿Cómo cambia la demanda dentro de las 24 horas?</w:t>
      </w:r>
    </w:p>
    <w:p>
      <w:pPr>
        <w:pStyle w:val="ListBullet"/>
        <w:spacing w:after="40"/>
      </w:pPr>
      <w:r>
        <w:rPr>
          <w:color w:val="000000"/>
          <w:lang w:val="es-AR" w:eastAsia="es-AR" w:bidi="es-AR"/>
        </w:rPr>
        <w:t>¿Existen patrones provinciales de estacionalidad similares?</w:t>
      </w:r>
    </w:p>
    <w:p>
      <w:pPr>
        <w:pStyle w:val="ListBullet"/>
        <w:spacing w:after="40"/>
      </w:pPr>
      <w:r>
        <w:rPr>
          <w:color w:val="000000"/>
          <w:lang w:val="es-AR" w:eastAsia="es-AR" w:bidi="es-AR"/>
        </w:rPr>
        <w:t>¿Qué modelo logra pronósticos más precisos y, sobre todo, más robustos fuera de muestra?</w:t>
      </w:r>
    </w:p>
    <w:p>
      <w:pPr>
        <w:pStyle w:val="Heading2"/>
      </w:pPr>
      <w:r>
        <w:rPr>
          <w:color w:val="000000"/>
          <w:lang w:val="es-AR" w:eastAsia="es-AR" w:bidi="es-AR"/>
        </w:rPr>
        <w:t>1.2 Período analizado</w:t>
      </w:r>
    </w:p>
    <w:p>
      <w:r>
        <w:rPr>
          <w:color w:val="000000"/>
          <w:lang w:val="es-AR" w:eastAsia="es-AR" w:bidi="es-AR"/>
        </w:rPr>
        <w:t>La base cubre desde el 1 de enero de 2023 hasta el 30 de junio de 2026. Para comparaciones anuales completas se utilizaron 2023, 2024 y 2025. Los meses disponibles de 2026 se reservaron para validación del pronóstico y para análisis parciales, evitando compararlos como un año completo.</w:t>
      </w:r>
    </w:p>
    <w:p>
      <w:bookmarkStart w:id="3" w:name="sec_3_2_Datos_y_control_de_calidad"/>
      <w:pPr>
        <w:pStyle w:val="Heading1"/>
      </w:pPr>
      <w:r>
        <w:rPr>
          <w:color w:val="000000"/>
          <w:lang w:val="es-AR" w:eastAsia="es-AR" w:bidi="es-AR"/>
        </w:rPr>
        <w:t>2. Datos y control de calidad</w:t>
      </w:r>
      <w:bookmarkEnd w:id="3"/>
    </w:p>
    <w:p>
      <w:r>
        <w:rPr>
          <w:color w:val="000000"/>
          <w:lang w:val="es-AR" w:eastAsia="es-AR" w:bidi="es-AR"/>
        </w:rPr>
        <w:t>Antes de calcular indicadores o entrenar modelos, se auditó la integridad del archivo. Este paso es crítico: un código puede ejecutarse sin errores y aun así producir resultados incorrectos si la carga o la estructura temporal están mal definidas.</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1"/>
        </w:trPr>
        <w:tc>
          <w:tcPr>
            <w:tcW w:type="dxa" w:w="3061"/>
            <w:shd w:fill="0B4F59"/>
            <w:vAlign w:val="center"/>
          </w:tcPr>
          <w:p>
            <w:r>
              <w:rPr>
                <w:b/>
                <w:color w:val="000000"/>
                <w:sz w:val="17"/>
                <w:lang w:val="es-AR" w:eastAsia="es-AR" w:bidi="es-AR"/>
              </w:rPr>
              <w:t>Control</w:t>
            </w:r>
          </w:p>
        </w:tc>
        <w:tc>
          <w:tcPr>
            <w:tcW w:type="dxa" w:w="1814"/>
            <w:shd w:fill="0B4F59"/>
            <w:vAlign w:val="center"/>
          </w:tcPr>
          <w:p>
            <w:r>
              <w:rPr>
                <w:b/>
                <w:color w:val="000000"/>
                <w:sz w:val="17"/>
                <w:lang w:val="es-AR" w:eastAsia="es-AR" w:bidi="es-AR"/>
              </w:rPr>
              <w:t>Resultado</w:t>
            </w:r>
          </w:p>
        </w:tc>
        <w:tc>
          <w:tcPr>
            <w:tcW w:type="dxa" w:w="3969"/>
            <w:shd w:fill="0B4F59"/>
            <w:vAlign w:val="center"/>
          </w:tcPr>
          <w:p>
            <w:r>
              <w:rPr>
                <w:b/>
                <w:color w:val="000000"/>
                <w:sz w:val="17"/>
                <w:lang w:val="es-AR" w:eastAsia="es-AR" w:bidi="es-AR"/>
              </w:rPr>
              <w:t>Interpretación</w:t>
            </w:r>
          </w:p>
        </w:tc>
      </w:tr>
      <w:tr>
        <w:trPr>
          <w:cantSplit w:val="1"/>
        </w:trPr>
        <w:tc>
          <w:tcPr>
            <w:tcW w:type="dxa" w:w="3061"/>
            <w:vAlign w:val="center"/>
          </w:tcPr>
          <w:p>
            <w:r>
              <w:rPr>
                <w:sz w:val="17"/>
                <w:color w:val="000000"/>
                <w:lang w:val="es-AR" w:eastAsia="es-AR" w:bidi="es-AR"/>
              </w:rPr>
              <w:t>Registros horarios</w:t>
            </w:r>
          </w:p>
        </w:tc>
        <w:tc>
          <w:tcPr>
            <w:tcW w:type="dxa" w:w="1814"/>
            <w:vAlign w:val="center"/>
          </w:tcPr>
          <w:p>
            <w:r>
              <w:rPr>
                <w:sz w:val="17"/>
                <w:color w:val="000000"/>
                <w:lang w:val="es-AR" w:eastAsia="es-AR" w:bidi="es-AR"/>
              </w:rPr>
              <w:t>30.648</w:t>
            </w:r>
          </w:p>
        </w:tc>
        <w:tc>
          <w:tcPr>
            <w:tcW w:type="dxa" w:w="3969"/>
            <w:vAlign w:val="center"/>
          </w:tcPr>
          <w:p>
            <w:r>
              <w:rPr>
                <w:sz w:val="17"/>
                <w:color w:val="000000"/>
                <w:lang w:val="es-AR" w:eastAsia="es-AR" w:bidi="es-AR"/>
              </w:rPr>
              <w:t>Completo para el período disponible</w:t>
            </w:r>
          </w:p>
        </w:tc>
      </w:tr>
      <w:tr>
        <w:trPr>
          <w:cantSplit w:val="1"/>
        </w:trPr>
        <w:tc>
          <w:tcPr>
            <w:tcW w:type="dxa" w:w="3061"/>
            <w:shd w:fill="F3F6F7"/>
            <w:vAlign w:val="center"/>
          </w:tcPr>
          <w:p>
            <w:r>
              <w:rPr>
                <w:sz w:val="17"/>
                <w:color w:val="000000"/>
                <w:lang w:val="es-AR" w:eastAsia="es-AR" w:bidi="es-AR"/>
              </w:rPr>
              <w:t>Cobertura</w:t>
            </w:r>
          </w:p>
        </w:tc>
        <w:tc>
          <w:tcPr>
            <w:tcW w:type="dxa" w:w="1814"/>
            <w:shd w:fill="F3F6F7"/>
            <w:vAlign w:val="center"/>
          </w:tcPr>
          <w:p>
            <w:r>
              <w:rPr>
                <w:sz w:val="17"/>
                <w:color w:val="000000"/>
                <w:lang w:val="es-AR" w:eastAsia="es-AR" w:bidi="es-AR"/>
              </w:rPr>
              <w:t>01/01/2023–30/06/2026</w:t>
            </w:r>
          </w:p>
        </w:tc>
        <w:tc>
          <w:tcPr>
            <w:tcW w:type="dxa" w:w="3969"/>
            <w:shd w:fill="F3F6F7"/>
            <w:vAlign w:val="center"/>
          </w:tcPr>
          <w:p>
            <w:r>
              <w:rPr>
                <w:sz w:val="17"/>
                <w:color w:val="000000"/>
                <w:lang w:val="es-AR" w:eastAsia="es-AR" w:bidi="es-AR"/>
              </w:rPr>
              <w:t>Sin huecos de días/horas</w:t>
            </w:r>
          </w:p>
        </w:tc>
      </w:tr>
      <w:tr>
        <w:trPr>
          <w:cantSplit w:val="1"/>
        </w:trPr>
        <w:tc>
          <w:tcPr>
            <w:tcW w:type="dxa" w:w="3061"/>
            <w:vAlign w:val="center"/>
          </w:tcPr>
          <w:p>
            <w:r>
              <w:rPr>
                <w:sz w:val="17"/>
                <w:color w:val="000000"/>
                <w:lang w:val="es-AR" w:eastAsia="es-AR" w:bidi="es-AR"/>
              </w:rPr>
              <w:t>Registros 2023</w:t>
            </w:r>
          </w:p>
        </w:tc>
        <w:tc>
          <w:tcPr>
            <w:tcW w:type="dxa" w:w="1814"/>
            <w:vAlign w:val="center"/>
          </w:tcPr>
          <w:p>
            <w:r>
              <w:rPr>
                <w:sz w:val="17"/>
                <w:color w:val="000000"/>
                <w:lang w:val="es-AR" w:eastAsia="es-AR" w:bidi="es-AR"/>
              </w:rPr>
              <w:t>8.760</w:t>
            </w:r>
          </w:p>
        </w:tc>
        <w:tc>
          <w:tcPr>
            <w:tcW w:type="dxa" w:w="3969"/>
            <w:vAlign w:val="center"/>
          </w:tcPr>
          <w:p>
            <w:r>
              <w:rPr>
                <w:sz w:val="17"/>
                <w:color w:val="000000"/>
                <w:lang w:val="es-AR" w:eastAsia="es-AR" w:bidi="es-AR"/>
              </w:rPr>
              <w:t>365 × 24</w:t>
            </w:r>
          </w:p>
        </w:tc>
      </w:tr>
      <w:tr>
        <w:trPr>
          <w:cantSplit w:val="1"/>
        </w:trPr>
        <w:tc>
          <w:tcPr>
            <w:tcW w:type="dxa" w:w="3061"/>
            <w:shd w:fill="F3F6F7"/>
            <w:vAlign w:val="center"/>
          </w:tcPr>
          <w:p>
            <w:r>
              <w:rPr>
                <w:sz w:val="17"/>
                <w:color w:val="000000"/>
                <w:lang w:val="es-AR" w:eastAsia="es-AR" w:bidi="es-AR"/>
              </w:rPr>
              <w:t>Registros 2024</w:t>
            </w:r>
          </w:p>
        </w:tc>
        <w:tc>
          <w:tcPr>
            <w:tcW w:type="dxa" w:w="1814"/>
            <w:shd w:fill="F3F6F7"/>
            <w:vAlign w:val="center"/>
          </w:tcPr>
          <w:p>
            <w:r>
              <w:rPr>
                <w:sz w:val="17"/>
                <w:color w:val="000000"/>
                <w:lang w:val="es-AR" w:eastAsia="es-AR" w:bidi="es-AR"/>
              </w:rPr>
              <w:t>8.784</w:t>
            </w:r>
          </w:p>
        </w:tc>
        <w:tc>
          <w:tcPr>
            <w:tcW w:type="dxa" w:w="3969"/>
            <w:shd w:fill="F3F6F7"/>
            <w:vAlign w:val="center"/>
          </w:tcPr>
          <w:p>
            <w:r>
              <w:rPr>
                <w:sz w:val="17"/>
                <w:color w:val="000000"/>
                <w:lang w:val="es-AR" w:eastAsia="es-AR" w:bidi="es-AR"/>
              </w:rPr>
              <w:t>366 × 24; año bisiesto</w:t>
            </w:r>
          </w:p>
        </w:tc>
      </w:tr>
      <w:tr>
        <w:trPr>
          <w:cantSplit w:val="1"/>
        </w:trPr>
        <w:tc>
          <w:tcPr>
            <w:tcW w:type="dxa" w:w="3061"/>
            <w:vAlign w:val="center"/>
          </w:tcPr>
          <w:p>
            <w:r>
              <w:rPr>
                <w:sz w:val="17"/>
                <w:color w:val="000000"/>
                <w:lang w:val="es-AR" w:eastAsia="es-AR" w:bidi="es-AR"/>
              </w:rPr>
              <w:t>Registros 2025</w:t>
            </w:r>
          </w:p>
        </w:tc>
        <w:tc>
          <w:tcPr>
            <w:tcW w:type="dxa" w:w="1814"/>
            <w:vAlign w:val="center"/>
          </w:tcPr>
          <w:p>
            <w:r>
              <w:rPr>
                <w:sz w:val="17"/>
                <w:color w:val="000000"/>
                <w:lang w:val="es-AR" w:eastAsia="es-AR" w:bidi="es-AR"/>
              </w:rPr>
              <w:t>8.760</w:t>
            </w:r>
          </w:p>
        </w:tc>
        <w:tc>
          <w:tcPr>
            <w:tcW w:type="dxa" w:w="3969"/>
            <w:vAlign w:val="center"/>
          </w:tcPr>
          <w:p>
            <w:r>
              <w:rPr>
                <w:sz w:val="17"/>
                <w:color w:val="000000"/>
                <w:lang w:val="es-AR" w:eastAsia="es-AR" w:bidi="es-AR"/>
              </w:rPr>
              <w:t>365 × 24</w:t>
            </w:r>
          </w:p>
        </w:tc>
      </w:tr>
      <w:tr>
        <w:trPr>
          <w:cantSplit w:val="1"/>
        </w:trPr>
        <w:tc>
          <w:tcPr>
            <w:tcW w:type="dxa" w:w="3061"/>
            <w:shd w:fill="F3F6F7"/>
            <w:vAlign w:val="center"/>
          </w:tcPr>
          <w:p>
            <w:r>
              <w:rPr>
                <w:sz w:val="17"/>
                <w:color w:val="000000"/>
                <w:lang w:val="es-AR" w:eastAsia="es-AR" w:bidi="es-AR"/>
              </w:rPr>
              <w:t>Registros 2026</w:t>
            </w:r>
          </w:p>
        </w:tc>
        <w:tc>
          <w:tcPr>
            <w:tcW w:type="dxa" w:w="1814"/>
            <w:shd w:fill="F3F6F7"/>
            <w:vAlign w:val="center"/>
          </w:tcPr>
          <w:p>
            <w:r>
              <w:rPr>
                <w:sz w:val="17"/>
                <w:color w:val="000000"/>
                <w:lang w:val="es-AR" w:eastAsia="es-AR" w:bidi="es-AR"/>
              </w:rPr>
              <w:t>4.344</w:t>
            </w:r>
          </w:p>
        </w:tc>
        <w:tc>
          <w:tcPr>
            <w:tcW w:type="dxa" w:w="3969"/>
            <w:shd w:fill="F3F6F7"/>
            <w:vAlign w:val="center"/>
          </w:tcPr>
          <w:p>
            <w:r>
              <w:rPr>
                <w:sz w:val="17"/>
                <w:color w:val="000000"/>
                <w:lang w:val="es-AR" w:eastAsia="es-AR" w:bidi="es-AR"/>
              </w:rPr>
              <w:t>Enero–junio</w:t>
            </w:r>
          </w:p>
        </w:tc>
      </w:tr>
      <w:tr>
        <w:trPr>
          <w:cantSplit w:val="1"/>
        </w:trPr>
        <w:tc>
          <w:tcPr>
            <w:tcW w:type="dxa" w:w="3061"/>
            <w:vAlign w:val="center"/>
          </w:tcPr>
          <w:p>
            <w:r>
              <w:rPr>
                <w:sz w:val="17"/>
                <w:color w:val="000000"/>
                <w:lang w:val="es-AR" w:eastAsia="es-AR" w:bidi="es-AR"/>
              </w:rPr>
              <w:t>Timestamps duplicados</w:t>
            </w:r>
          </w:p>
        </w:tc>
        <w:tc>
          <w:tcPr>
            <w:tcW w:type="dxa" w:w="1814"/>
            <w:vAlign w:val="center"/>
          </w:tcPr>
          <w:p>
            <w:r>
              <w:rPr>
                <w:sz w:val="17"/>
                <w:color w:val="000000"/>
                <w:lang w:val="es-AR" w:eastAsia="es-AR" w:bidi="es-AR"/>
              </w:rPr>
              <w:t>0</w:t>
            </w:r>
          </w:p>
        </w:tc>
        <w:tc>
          <w:tcPr>
            <w:tcW w:type="dxa" w:w="3969"/>
            <w:vAlign w:val="center"/>
          </w:tcPr>
          <w:p>
            <w:r>
              <w:rPr>
                <w:sz w:val="17"/>
                <w:color w:val="000000"/>
                <w:lang w:val="es-AR" w:eastAsia="es-AR" w:bidi="es-AR"/>
              </w:rPr>
              <w:t>Correcto</w:t>
            </w:r>
          </w:p>
        </w:tc>
      </w:tr>
      <w:tr>
        <w:trPr>
          <w:cantSplit w:val="1"/>
        </w:trPr>
        <w:tc>
          <w:tcPr>
            <w:tcW w:type="dxa" w:w="3061"/>
            <w:shd w:fill="F3F6F7"/>
            <w:vAlign w:val="center"/>
          </w:tcPr>
          <w:p>
            <w:r>
              <w:rPr>
                <w:sz w:val="17"/>
                <w:color w:val="000000"/>
                <w:lang w:val="es-AR" w:eastAsia="es-AR" w:bidi="es-AR"/>
              </w:rPr>
              <w:t>Valores nulos de demanda</w:t>
            </w:r>
          </w:p>
        </w:tc>
        <w:tc>
          <w:tcPr>
            <w:tcW w:type="dxa" w:w="1814"/>
            <w:shd w:fill="F3F6F7"/>
            <w:vAlign w:val="center"/>
          </w:tcPr>
          <w:p>
            <w:r>
              <w:rPr>
                <w:sz w:val="17"/>
                <w:color w:val="000000"/>
                <w:lang w:val="es-AR" w:eastAsia="es-AR" w:bidi="es-AR"/>
              </w:rPr>
              <w:t>0</w:t>
            </w:r>
          </w:p>
        </w:tc>
        <w:tc>
          <w:tcPr>
            <w:tcW w:type="dxa" w:w="3969"/>
            <w:shd w:fill="F3F6F7"/>
            <w:vAlign w:val="center"/>
          </w:tcPr>
          <w:p>
            <w:r>
              <w:rPr>
                <w:sz w:val="17"/>
                <w:color w:val="000000"/>
                <w:lang w:val="es-AR" w:eastAsia="es-AR" w:bidi="es-AR"/>
              </w:rPr>
              <w:t>Correcto</w:t>
            </w:r>
          </w:p>
        </w:tc>
      </w:tr>
      <w:tr>
        <w:trPr>
          <w:cantSplit w:val="1"/>
        </w:trPr>
        <w:tc>
          <w:tcPr>
            <w:tcW w:type="dxa" w:w="3061"/>
            <w:vAlign w:val="center"/>
          </w:tcPr>
          <w:p>
            <w:r>
              <w:rPr>
                <w:sz w:val="17"/>
                <w:color w:val="000000"/>
                <w:lang w:val="es-AR" w:eastAsia="es-AR" w:bidi="es-AR"/>
              </w:rPr>
              <w:t>Valores negativos</w:t>
            </w:r>
          </w:p>
        </w:tc>
        <w:tc>
          <w:tcPr>
            <w:tcW w:type="dxa" w:w="1814"/>
            <w:vAlign w:val="center"/>
          </w:tcPr>
          <w:p>
            <w:r>
              <w:rPr>
                <w:sz w:val="17"/>
                <w:color w:val="000000"/>
                <w:lang w:val="es-AR" w:eastAsia="es-AR" w:bidi="es-AR"/>
              </w:rPr>
              <w:t>0</w:t>
            </w:r>
          </w:p>
        </w:tc>
        <w:tc>
          <w:tcPr>
            <w:tcW w:type="dxa" w:w="3969"/>
            <w:vAlign w:val="center"/>
          </w:tcPr>
          <w:p>
            <w:r>
              <w:rPr>
                <w:sz w:val="17"/>
                <w:color w:val="000000"/>
                <w:lang w:val="es-AR" w:eastAsia="es-AR" w:bidi="es-AR"/>
              </w:rPr>
              <w:t>Correcto</w:t>
            </w:r>
          </w:p>
        </w:tc>
      </w:tr>
      <w:tr>
        <w:trPr>
          <w:cantSplit w:val="1"/>
        </w:trPr>
        <w:tc>
          <w:tcPr>
            <w:tcW w:type="dxa" w:w="3061"/>
            <w:shd w:fill="F3F6F7"/>
            <w:vAlign w:val="center"/>
          </w:tcPr>
          <w:p>
            <w:r>
              <w:rPr>
                <w:sz w:val="17"/>
                <w:color w:val="000000"/>
                <w:lang w:val="es-AR" w:eastAsia="es-AR" w:bidi="es-AR"/>
              </w:rPr>
              <w:t>Días con horas incompletas</w:t>
            </w:r>
          </w:p>
        </w:tc>
        <w:tc>
          <w:tcPr>
            <w:tcW w:type="dxa" w:w="1814"/>
            <w:shd w:fill="F3F6F7"/>
            <w:vAlign w:val="center"/>
          </w:tcPr>
          <w:p>
            <w:r>
              <w:rPr>
                <w:sz w:val="17"/>
                <w:color w:val="000000"/>
                <w:lang w:val="es-AR" w:eastAsia="es-AR" w:bidi="es-AR"/>
              </w:rPr>
              <w:t>0</w:t>
            </w:r>
          </w:p>
        </w:tc>
        <w:tc>
          <w:tcPr>
            <w:tcW w:type="dxa" w:w="3969"/>
            <w:shd w:fill="F3F6F7"/>
            <w:vAlign w:val="center"/>
          </w:tcPr>
          <w:p>
            <w:r>
              <w:rPr>
                <w:sz w:val="17"/>
                <w:color w:val="000000"/>
                <w:lang w:val="es-AR" w:eastAsia="es-AR" w:bidi="es-AR"/>
              </w:rPr>
              <w:t>Todos contienen 24 horas</w:t>
            </w:r>
          </w:p>
        </w:tc>
      </w:tr>
      <w:tr>
        <w:trPr>
          <w:cantSplit w:val="1"/>
        </w:trPr>
        <w:tc>
          <w:tcPr>
            <w:tcW w:type="dxa" w:w="3061"/>
            <w:vAlign w:val="center"/>
          </w:tcPr>
          <w:p>
            <w:r>
              <w:rPr>
                <w:sz w:val="17"/>
                <w:color w:val="000000"/>
                <w:lang w:val="es-AR" w:eastAsia="es-AR" w:bidi="es-AR"/>
              </w:rPr>
              <w:t>Diferencia TOTAL vs. suma provincial</w:t>
            </w:r>
          </w:p>
        </w:tc>
        <w:tc>
          <w:tcPr>
            <w:tcW w:type="dxa" w:w="1814"/>
            <w:vAlign w:val="center"/>
          </w:tcPr>
          <w:p>
            <w:r>
              <w:rPr>
                <w:sz w:val="17"/>
                <w:color w:val="000000"/>
                <w:lang w:val="es-AR" w:eastAsia="es-AR" w:bidi="es-AR"/>
              </w:rPr>
              <w:t>0</w:t>
            </w:r>
          </w:p>
        </w:tc>
        <w:tc>
          <w:tcPr>
            <w:tcW w:type="dxa" w:w="3969"/>
            <w:vAlign w:val="center"/>
          </w:tcPr>
          <w:p>
            <w:r>
              <w:rPr>
                <w:sz w:val="17"/>
                <w:color w:val="000000"/>
                <w:lang w:val="es-AR" w:eastAsia="es-AR" w:bidi="es-AR"/>
              </w:rPr>
              <w:t>Consistencia exacta</w:t>
            </w:r>
          </w:p>
        </w:tc>
      </w:tr>
      <w:tr>
        <w:trPr>
          <w:cantSplit w:val="1"/>
        </w:trPr>
        <w:tc>
          <w:tcPr>
            <w:tcW w:type="dxa" w:w="3061"/>
            <w:shd w:fill="F3F6F7"/>
            <w:vAlign w:val="center"/>
          </w:tcPr>
          <w:p>
            <w:r>
              <w:rPr>
                <w:sz w:val="17"/>
                <w:color w:val="000000"/>
                <w:lang w:val="es-AR" w:eastAsia="es-AR" w:bidi="es-AR"/>
              </w:rPr>
              <w:t>Valores provinciales exactamente 0</w:t>
            </w:r>
          </w:p>
        </w:tc>
        <w:tc>
          <w:tcPr>
            <w:tcW w:type="dxa" w:w="1814"/>
            <w:shd w:fill="F3F6F7"/>
            <w:vAlign w:val="center"/>
          </w:tcPr>
          <w:p>
            <w:r>
              <w:rPr>
                <w:sz w:val="17"/>
                <w:color w:val="000000"/>
                <w:lang w:val="es-AR" w:eastAsia="es-AR" w:bidi="es-AR"/>
              </w:rPr>
              <w:t>3</w:t>
            </w:r>
          </w:p>
        </w:tc>
        <w:tc>
          <w:tcPr>
            <w:tcW w:type="dxa" w:w="3969"/>
            <w:shd w:fill="F3F6F7"/>
            <w:vAlign w:val="center"/>
          </w:tcPr>
          <w:p>
            <w:r>
              <w:rPr>
                <w:sz w:val="17"/>
                <w:color w:val="000000"/>
                <w:lang w:val="es-AR" w:eastAsia="es-AR" w:bidi="es-AR"/>
              </w:rPr>
              <w:t>Conservar como anomalías a verificar</w:t>
            </w:r>
          </w:p>
        </w:tc>
      </w:tr>
    </w:tbl>
    <w:p>
      <w:pPr>
        <w:pStyle w:val="Heading2"/>
      </w:pPr>
      <w:r>
        <w:rPr>
          <w:color w:val="000000"/>
          <w:lang w:val="es-AR" w:eastAsia="es-AR" w:bidi="es-AR"/>
        </w:rPr>
        <w:t>2.1 Corrección de la carga original</w:t>
      </w:r>
    </w:p>
    <w:p>
      <w:r>
        <w:rPr>
          <w:color w:val="000000"/>
          <w:lang w:val="es-AR" w:eastAsia="es-AR" w:bidi="es-AR"/>
        </w:rPr>
        <w:t>El script original leía el Excel desde una fila de encabezado incorrecta y luego eliminaba filas mediante operaciones sucesivas. Esa combinación descartaba dos observaciones horarias válidas del 01/01/2023. En la versión V2.1 la carga se realiza directamente desde la fila correcta de encabezados (header=3), eliminando la necesidad de recortar filas manualmente y preservando las 30.648 observaciones.</w:t>
      </w:r>
    </w:p>
    <w:tbl>
      <w:tblPr>
        <w:tblW w:type="auto" w:w="0"/>
        <w:jc w:val="center"/>
        <w:tblLook w:firstColumn="1" w:firstRow="1" w:lastColumn="0" w:lastRow="0" w:noHBand="0" w:noVBand="1" w:val="04A0"/>
      </w:tblPr>
      <w:tblGrid>
        <w:gridCol w:w="9638"/>
      </w:tblGrid>
      <w:tr>
        <w:trPr>
          <w:cantSplit w:val="1"/>
        </w:trPr>
        <w:tc>
          <w:tcPr>
            <w:tcW w:type="dxa" w:w="9638"/>
            <w:shd w:fill="FFF4E5"/>
            <w:tcMar>
              <w:top w:w="160" w:type="dxa"/>
              <w:start w:w="180" w:type="dxa"/>
              <w:bottom w:w="160" w:type="dxa"/>
              <w:end w:w="180" w:type="dxa"/>
            </w:tcMar>
          </w:tcPr>
          <w:p>
            <w:r>
              <w:rPr>
                <w:b/>
                <w:color w:val="000000"/>
                <w:sz w:val="22"/>
                <w:lang w:val="es-AR" w:eastAsia="es-AR" w:bidi="es-AR"/>
              </w:rPr>
              <w:t>Impacto</w:t>
              <w:br/>
            </w:r>
            <w:r>
              <w:rPr>
                <w:sz w:val="20"/>
                <w:color w:val="000000"/>
                <w:lang w:val="es-AR" w:eastAsia="es-AR" w:bidi="es-AR"/>
              </w:rPr>
              <w:t>La pérdida de dos registros tenía un efecto pequeño sobre los totales anuales, pero constituía un error metodológico: alteraba el consumo del 1 de enero de 2023, enero 2023 y las estadísticas de las horas 1 y 2. Corregirlo mejora la trazabilidad y la reproducibilidad del proyecto.</w:t>
            </w:r>
          </w:p>
        </w:tc>
      </w:tr>
    </w:tbl>
    <w:p/>
    <w:p>
      <w:pPr>
        <w:pStyle w:val="Heading2"/>
      </w:pPr>
      <w:r>
        <w:rPr>
          <w:color w:val="000000"/>
          <w:lang w:val="es-AR" w:eastAsia="es-AR" w:bidi="es-AR"/>
        </w:rPr>
        <w:t>2.2 Anomalías conservadas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1"/>
        </w:trPr>
        <w:tc>
          <w:tcPr>
            <w:tcW w:type="dxa" w:w="2268"/>
            <w:shd w:fill="0B4F59"/>
            <w:vAlign w:val="center"/>
          </w:tcPr>
          <w:p>
            <w:r>
              <w:rPr>
                <w:b/>
                <w:color w:val="000000"/>
                <w:sz w:val="18"/>
                <w:lang w:val="es-AR" w:eastAsia="es-AR" w:bidi="es-AR"/>
              </w:rPr>
              <w:t>Fecha</w:t>
            </w:r>
          </w:p>
        </w:tc>
        <w:tc>
          <w:tcPr>
            <w:tcW w:type="dxa" w:w="1134"/>
            <w:shd w:fill="0B4F59"/>
            <w:vAlign w:val="center"/>
          </w:tcPr>
          <w:p>
            <w:r>
              <w:rPr>
                <w:b/>
                <w:color w:val="000000"/>
                <w:sz w:val="18"/>
                <w:lang w:val="es-AR" w:eastAsia="es-AR" w:bidi="es-AR"/>
              </w:rPr>
              <w:t>Hora</w:t>
            </w:r>
          </w:p>
        </w:tc>
        <w:tc>
          <w:tcPr>
            <w:tcW w:type="dxa" w:w="2835"/>
            <w:shd w:fill="0B4F59"/>
            <w:vAlign w:val="center"/>
          </w:tcPr>
          <w:p>
            <w:r>
              <w:rPr>
                <w:b/>
                <w:color w:val="000000"/>
                <w:sz w:val="18"/>
                <w:lang w:val="es-AR" w:eastAsia="es-AR" w:bidi="es-AR"/>
              </w:rPr>
              <w:t>Provincia</w:t>
            </w:r>
          </w:p>
        </w:tc>
        <w:tc>
          <w:tcPr>
            <w:tcW w:type="dxa" w:w="1701"/>
            <w:shd w:fill="0B4F59"/>
            <w:vAlign w:val="center"/>
          </w:tcPr>
          <w:p>
            <w:r>
              <w:rPr>
                <w:b/>
                <w:color w:val="000000"/>
                <w:sz w:val="18"/>
                <w:lang w:val="es-AR" w:eastAsia="es-AR" w:bidi="es-AR"/>
              </w:rPr>
              <w:t>Valor</w:t>
            </w:r>
          </w:p>
        </w:tc>
      </w:tr>
      <w:tr>
        <w:trPr>
          <w:cantSplit w:val="1"/>
        </w:trPr>
        <w:tc>
          <w:tcPr>
            <w:tcW w:type="dxa" w:w="2268"/>
            <w:vAlign w:val="center"/>
          </w:tcPr>
          <w:p>
            <w:r>
              <w:rPr>
                <w:sz w:val="18"/>
                <w:color w:val="000000"/>
                <w:lang w:val="es-AR" w:eastAsia="es-AR" w:bidi="es-AR"/>
              </w:rPr>
              <w:t>2023-12-17</w:t>
            </w:r>
          </w:p>
        </w:tc>
        <w:tc>
          <w:tcPr>
            <w:tcW w:type="dxa" w:w="1134"/>
            <w:vAlign w:val="center"/>
          </w:tcPr>
          <w:p>
            <w:r>
              <w:rPr>
                <w:sz w:val="18"/>
                <w:color w:val="000000"/>
                <w:lang w:val="es-AR" w:eastAsia="es-AR" w:bidi="es-AR"/>
              </w:rPr>
              <w:t>22</w:t>
            </w:r>
          </w:p>
        </w:tc>
        <w:tc>
          <w:tcPr>
            <w:tcW w:type="dxa" w:w="2835"/>
            <w:vAlign w:val="center"/>
          </w:tcPr>
          <w:p>
            <w:r>
              <w:rPr>
                <w:sz w:val="18"/>
                <w:color w:val="000000"/>
                <w:lang w:val="es-AR" w:eastAsia="es-AR" w:bidi="es-AR"/>
              </w:rPr>
              <w:t>CATAMARCA</w:t>
            </w:r>
          </w:p>
        </w:tc>
        <w:tc>
          <w:tcPr>
            <w:tcW w:type="dxa" w:w="1701"/>
            <w:vAlign w:val="center"/>
          </w:tcPr>
          <w:p>
            <w:r>
              <w:rPr>
                <w:sz w:val="18"/>
                <w:color w:val="000000"/>
                <w:lang w:val="es-AR" w:eastAsia="es-AR" w:bidi="es-AR"/>
              </w:rPr>
              <w:t>0.0</w:t>
            </w:r>
          </w:p>
        </w:tc>
      </w:tr>
      <w:tr>
        <w:trPr>
          <w:cantSplit w:val="1"/>
        </w:trPr>
        <w:tc>
          <w:tcPr>
            <w:tcW w:type="dxa" w:w="2268"/>
            <w:shd w:fill="F3F6F7"/>
            <w:vAlign w:val="center"/>
          </w:tcPr>
          <w:p>
            <w:r>
              <w:rPr>
                <w:sz w:val="18"/>
                <w:color w:val="000000"/>
                <w:lang w:val="es-AR" w:eastAsia="es-AR" w:bidi="es-AR"/>
              </w:rPr>
              <w:t>2023-12-17</w:t>
            </w:r>
          </w:p>
        </w:tc>
        <w:tc>
          <w:tcPr>
            <w:tcW w:type="dxa" w:w="1134"/>
            <w:shd w:fill="F3F6F7"/>
            <w:vAlign w:val="center"/>
          </w:tcPr>
          <w:p>
            <w:r>
              <w:rPr>
                <w:sz w:val="18"/>
                <w:color w:val="000000"/>
                <w:lang w:val="es-AR" w:eastAsia="es-AR" w:bidi="es-AR"/>
              </w:rPr>
              <w:t>22</w:t>
            </w:r>
          </w:p>
        </w:tc>
        <w:tc>
          <w:tcPr>
            <w:tcW w:type="dxa" w:w="2835"/>
            <w:shd w:fill="F3F6F7"/>
            <w:vAlign w:val="center"/>
          </w:tcPr>
          <w:p>
            <w:r>
              <w:rPr>
                <w:sz w:val="18"/>
                <w:color w:val="000000"/>
                <w:lang w:val="es-AR" w:eastAsia="es-AR" w:bidi="es-AR"/>
              </w:rPr>
              <w:t>JUJUY</w:t>
            </w:r>
          </w:p>
        </w:tc>
        <w:tc>
          <w:tcPr>
            <w:tcW w:type="dxa" w:w="1701"/>
            <w:shd w:fill="F3F6F7"/>
            <w:vAlign w:val="center"/>
          </w:tcPr>
          <w:p>
            <w:r>
              <w:rPr>
                <w:sz w:val="18"/>
                <w:color w:val="000000"/>
                <w:lang w:val="es-AR" w:eastAsia="es-AR" w:bidi="es-AR"/>
              </w:rPr>
              <w:t>0.0</w:t>
            </w:r>
          </w:p>
        </w:tc>
      </w:tr>
      <w:tr>
        <w:trPr>
          <w:cantSplit w:val="1"/>
        </w:trPr>
        <w:tc>
          <w:tcPr>
            <w:tcW w:type="dxa" w:w="2268"/>
            <w:vAlign w:val="center"/>
          </w:tcPr>
          <w:p>
            <w:r>
              <w:rPr>
                <w:sz w:val="18"/>
                <w:color w:val="000000"/>
                <w:lang w:val="es-AR" w:eastAsia="es-AR" w:bidi="es-AR"/>
              </w:rPr>
              <w:t>2023-03-01</w:t>
            </w:r>
          </w:p>
        </w:tc>
        <w:tc>
          <w:tcPr>
            <w:tcW w:type="dxa" w:w="1134"/>
            <w:vAlign w:val="center"/>
          </w:tcPr>
          <w:p>
            <w:r>
              <w:rPr>
                <w:sz w:val="18"/>
                <w:color w:val="000000"/>
                <w:lang w:val="es-AR" w:eastAsia="es-AR" w:bidi="es-AR"/>
              </w:rPr>
              <w:t>18</w:t>
            </w:r>
          </w:p>
        </w:tc>
        <w:tc>
          <w:tcPr>
            <w:tcW w:type="dxa" w:w="2835"/>
            <w:vAlign w:val="center"/>
          </w:tcPr>
          <w:p>
            <w:r>
              <w:rPr>
                <w:sz w:val="18"/>
                <w:color w:val="000000"/>
                <w:lang w:val="es-AR" w:eastAsia="es-AR" w:bidi="es-AR"/>
              </w:rPr>
              <w:t>SAN_LUIS</w:t>
            </w:r>
          </w:p>
        </w:tc>
        <w:tc>
          <w:tcPr>
            <w:tcW w:type="dxa" w:w="1701"/>
            <w:vAlign w:val="center"/>
          </w:tcPr>
          <w:p>
            <w:r>
              <w:rPr>
                <w:sz w:val="18"/>
                <w:color w:val="000000"/>
                <w:lang w:val="es-AR" w:eastAsia="es-AR" w:bidi="es-AR"/>
              </w:rPr>
              <w:t>0.0</w:t>
            </w:r>
          </w:p>
        </w:tc>
      </w:tr>
    </w:tbl>
    <w:p>
      <w:r>
        <w:rPr>
          <w:color w:val="000000"/>
          <w:lang w:val="es-AR" w:eastAsia="es-AR" w:bidi="es-AR"/>
        </w:rPr>
        <w:t>Estos tres ceros fueron señalados, pero no reemplazados automáticamente. Sin una verificación contra la fuente original no es correcto suponer que son errores. La política aplicada es distinguir “dato inusual” de “dato incorrecto”.</w:t>
      </w:r>
    </w:p>
    <w:p>
      <w:bookmarkStart w:id="4" w:name="sec_4_3_Arquitectura_anal_tica_y_her"/>
      <w:pPr>
        <w:pStyle w:val="Heading1"/>
      </w:pPr>
      <w:r>
        <w:rPr>
          <w:color w:val="000000"/>
          <w:lang w:val="es-AR" w:eastAsia="es-AR" w:bidi="es-AR"/>
        </w:rPr>
        <w:t>3. Arquitectura analítica y herramientas</w:t>
      </w:r>
      <w:bookmarkEnd w:id="4"/>
    </w:p>
    <w:p>
      <w:r>
        <w:rPr>
          <w:color w:val="000000"/>
          <w:lang w:val="es-AR" w:eastAsia="es-AR" w:bidi="es-AR"/>
        </w:rPr>
        <w:t>La versión V2.1 reorganiza el proyecto como un pipeline reproducible: carga → auditoría → transformaciones → análisis descriptivo → clustering → pronóstico → validación → exportación de tablas y gráficos. Esta estructura reduce duplicaciones y separa los resultados ejecutivos de la evidencia técnica.</w:t>
      </w:r>
    </w:p>
    <w:tbl>
      <w:tblPr>
        <w:tblStyle w:val="TableGrid"/>
        <w:tblW w:type="auto" w:w="0"/>
        <w:jc w:val="center"/>
        <w:tblLook w:firstColumn="1" w:firstRow="1" w:lastColumn="0" w:lastRow="0" w:noHBand="0" w:noVBand="1" w:val="04A0"/>
      </w:tblPr>
      <w:tblGrid>
        <w:gridCol w:w="4819"/>
        <w:gridCol w:w="4819"/>
      </w:tblGrid>
      <w:tr>
        <w:trPr>
          <w:tblHeader w:val="true"/>
          <w:cantSplit w:val="1"/>
        </w:trPr>
        <w:tc>
          <w:tcPr>
            <w:tcW w:type="dxa" w:w="3118"/>
            <w:shd w:fill="0B4F59"/>
            <w:vAlign w:val="center"/>
          </w:tcPr>
          <w:p>
            <w:r>
              <w:rPr>
                <w:b/>
                <w:color w:val="000000"/>
                <w:sz w:val="17"/>
                <w:lang w:val="es-AR" w:eastAsia="es-AR" w:bidi="es-AR"/>
              </w:rPr>
              <w:t>Herramienta / librería</w:t>
            </w:r>
          </w:p>
        </w:tc>
        <w:tc>
          <w:tcPr>
            <w:tcW w:type="dxa" w:w="5783"/>
            <w:shd w:fill="0B4F59"/>
            <w:vAlign w:val="center"/>
          </w:tcPr>
          <w:p>
            <w:r>
              <w:rPr>
                <w:b/>
                <w:color w:val="000000"/>
                <w:sz w:val="17"/>
                <w:lang w:val="es-AR" w:eastAsia="es-AR" w:bidi="es-AR"/>
              </w:rPr>
              <w:t>Uso en el proyecto</w:t>
            </w:r>
          </w:p>
        </w:tc>
      </w:tr>
      <w:tr>
        <w:trPr>
          <w:cantSplit w:val="1"/>
        </w:trPr>
        <w:tc>
          <w:tcPr>
            <w:tcW w:type="dxa" w:w="3118"/>
            <w:vAlign w:val="center"/>
          </w:tcPr>
          <w:p>
            <w:r>
              <w:rPr>
                <w:sz w:val="17"/>
                <w:color w:val="000000"/>
                <w:lang w:val="es-AR" w:eastAsia="es-AR" w:bidi="es-AR"/>
              </w:rPr>
              <w:t>Python</w:t>
            </w:r>
          </w:p>
        </w:tc>
        <w:tc>
          <w:tcPr>
            <w:tcW w:type="dxa" w:w="5783"/>
            <w:vAlign w:val="center"/>
          </w:tcPr>
          <w:p>
            <w:r>
              <w:rPr>
                <w:sz w:val="17"/>
                <w:color w:val="000000"/>
                <w:lang w:val="es-AR" w:eastAsia="es-AR" w:bidi="es-AR"/>
              </w:rPr>
              <w:t>Lenguaje principal y orquestación del análisis.</w:t>
            </w:r>
          </w:p>
        </w:tc>
      </w:tr>
      <w:tr>
        <w:trPr>
          <w:cantSplit w:val="1"/>
        </w:trPr>
        <w:tc>
          <w:tcPr>
            <w:tcW w:type="dxa" w:w="3118"/>
            <w:shd w:fill="F3F6F7"/>
            <w:vAlign w:val="center"/>
          </w:tcPr>
          <w:p>
            <w:r>
              <w:rPr>
                <w:sz w:val="17"/>
                <w:color w:val="000000"/>
                <w:lang w:val="es-AR" w:eastAsia="es-AR" w:bidi="es-AR"/>
              </w:rPr>
              <w:t>pandas</w:t>
            </w:r>
          </w:p>
        </w:tc>
        <w:tc>
          <w:tcPr>
            <w:tcW w:type="dxa" w:w="5783"/>
            <w:shd w:fill="F3F6F7"/>
            <w:vAlign w:val="center"/>
          </w:tcPr>
          <w:p>
            <w:r>
              <w:rPr>
                <w:sz w:val="17"/>
                <w:color w:val="000000"/>
                <w:lang w:val="es-AR" w:eastAsia="es-AR" w:bidi="es-AR"/>
              </w:rPr>
              <w:t>Carga, limpieza, agregaciones horarias/diarias/mensuales/anuales y exportación de tablas.</w:t>
            </w:r>
          </w:p>
        </w:tc>
      </w:tr>
      <w:tr>
        <w:trPr>
          <w:cantSplit w:val="1"/>
        </w:trPr>
        <w:tc>
          <w:tcPr>
            <w:tcW w:type="dxa" w:w="3118"/>
            <w:vAlign w:val="center"/>
          </w:tcPr>
          <w:p>
            <w:r>
              <w:rPr>
                <w:sz w:val="17"/>
                <w:color w:val="000000"/>
                <w:lang w:val="es-AR" w:eastAsia="es-AR" w:bidi="es-AR"/>
              </w:rPr>
              <w:t>NumPy</w:t>
            </w:r>
          </w:p>
        </w:tc>
        <w:tc>
          <w:tcPr>
            <w:tcW w:type="dxa" w:w="5783"/>
            <w:vAlign w:val="center"/>
          </w:tcPr>
          <w:p>
            <w:r>
              <w:rPr>
                <w:sz w:val="17"/>
                <w:color w:val="000000"/>
                <w:lang w:val="es-AR" w:eastAsia="es-AR" w:bidi="es-AR"/>
              </w:rPr>
              <w:t>Operaciones numéricas, transformaciones y cálculos vectorizados.</w:t>
            </w:r>
          </w:p>
        </w:tc>
      </w:tr>
      <w:tr>
        <w:trPr>
          <w:cantSplit w:val="1"/>
        </w:trPr>
        <w:tc>
          <w:tcPr>
            <w:tcW w:type="dxa" w:w="3118"/>
            <w:shd w:fill="F3F6F7"/>
            <w:vAlign w:val="center"/>
          </w:tcPr>
          <w:p>
            <w:r>
              <w:rPr>
                <w:sz w:val="17"/>
                <w:color w:val="000000"/>
                <w:lang w:val="es-AR" w:eastAsia="es-AR" w:bidi="es-AR"/>
              </w:rPr>
              <w:t>Matplotlib</w:t>
            </w:r>
          </w:p>
        </w:tc>
        <w:tc>
          <w:tcPr>
            <w:tcW w:type="dxa" w:w="5783"/>
            <w:shd w:fill="F3F6F7"/>
            <w:vAlign w:val="center"/>
          </w:tcPr>
          <w:p>
            <w:r>
              <w:rPr>
                <w:sz w:val="17"/>
                <w:color w:val="000000"/>
                <w:lang w:val="es-AR" w:eastAsia="es-AR" w:bidi="es-AR"/>
              </w:rPr>
              <w:t>Generación de las visualizaciones finales.</w:t>
            </w:r>
          </w:p>
        </w:tc>
      </w:tr>
      <w:tr>
        <w:trPr>
          <w:cantSplit w:val="1"/>
        </w:trPr>
        <w:tc>
          <w:tcPr>
            <w:tcW w:type="dxa" w:w="3118"/>
            <w:vAlign w:val="center"/>
          </w:tcPr>
          <w:p>
            <w:r>
              <w:rPr>
                <w:sz w:val="17"/>
                <w:color w:val="000000"/>
                <w:lang w:val="es-AR" w:eastAsia="es-AR" w:bidi="es-AR"/>
              </w:rPr>
              <w:t>SciPy</w:t>
            </w:r>
          </w:p>
        </w:tc>
        <w:tc>
          <w:tcPr>
            <w:tcW w:type="dxa" w:w="5783"/>
            <w:vAlign w:val="center"/>
          </w:tcPr>
          <w:p>
            <w:r>
              <w:rPr>
                <w:sz w:val="17"/>
                <w:color w:val="000000"/>
                <w:lang w:val="es-AR" w:eastAsia="es-AR" w:bidi="es-AR"/>
              </w:rPr>
              <w:t>Clustering jerárquico mediante linkage y asignación de grupos.</w:t>
            </w:r>
          </w:p>
        </w:tc>
      </w:tr>
      <w:tr>
        <w:trPr>
          <w:cantSplit w:val="1"/>
        </w:trPr>
        <w:tc>
          <w:tcPr>
            <w:tcW w:type="dxa" w:w="3118"/>
            <w:shd w:fill="F3F6F7"/>
            <w:vAlign w:val="center"/>
          </w:tcPr>
          <w:p>
            <w:r>
              <w:rPr>
                <w:sz w:val="17"/>
                <w:color w:val="000000"/>
                <w:lang w:val="es-AR" w:eastAsia="es-AR" w:bidi="es-AR"/>
              </w:rPr>
              <w:t>scikit-learn</w:t>
            </w:r>
          </w:p>
        </w:tc>
        <w:tc>
          <w:tcPr>
            <w:tcW w:type="dxa" w:w="5783"/>
            <w:shd w:fill="F3F6F7"/>
            <w:vAlign w:val="center"/>
          </w:tcPr>
          <w:p>
            <w:r>
              <w:rPr>
                <w:sz w:val="17"/>
                <w:color w:val="000000"/>
                <w:lang w:val="es-AR" w:eastAsia="es-AR" w:bidi="es-AR"/>
              </w:rPr>
              <w:t>Silhouette Score y Adjusted Rand Index para validar clustering.</w:t>
            </w:r>
          </w:p>
        </w:tc>
      </w:tr>
      <w:tr>
        <w:trPr>
          <w:cantSplit w:val="1"/>
        </w:trPr>
        <w:tc>
          <w:tcPr>
            <w:tcW w:type="dxa" w:w="3118"/>
            <w:vAlign w:val="center"/>
          </w:tcPr>
          <w:p>
            <w:r>
              <w:rPr>
                <w:sz w:val="17"/>
                <w:color w:val="000000"/>
                <w:lang w:val="es-AR" w:eastAsia="es-AR" w:bidi="es-AR"/>
              </w:rPr>
              <w:t>statsmodels – Exponential Smoothing</w:t>
            </w:r>
          </w:p>
        </w:tc>
        <w:tc>
          <w:tcPr>
            <w:tcW w:type="dxa" w:w="5783"/>
            <w:vAlign w:val="center"/>
          </w:tcPr>
          <w:p>
            <w:r>
              <w:rPr>
                <w:sz w:val="17"/>
                <w:color w:val="000000"/>
                <w:lang w:val="es-AR" w:eastAsia="es-AR" w:bidi="es-AR"/>
              </w:rPr>
              <w:t>Modelo ETS para tendencia/estacionalidad y pronóstico.</w:t>
            </w:r>
          </w:p>
        </w:tc>
      </w:tr>
      <w:tr>
        <w:trPr>
          <w:cantSplit w:val="1"/>
        </w:trPr>
        <w:tc>
          <w:tcPr>
            <w:tcW w:type="dxa" w:w="3118"/>
            <w:shd w:fill="F3F6F7"/>
            <w:vAlign w:val="center"/>
          </w:tcPr>
          <w:p>
            <w:r>
              <w:rPr>
                <w:sz w:val="17"/>
                <w:color w:val="000000"/>
                <w:lang w:val="es-AR" w:eastAsia="es-AR" w:bidi="es-AR"/>
              </w:rPr>
              <w:t>statsmodels – SARIMAX</w:t>
            </w:r>
          </w:p>
        </w:tc>
        <w:tc>
          <w:tcPr>
            <w:tcW w:type="dxa" w:w="5783"/>
            <w:shd w:fill="F3F6F7"/>
            <w:vAlign w:val="center"/>
          </w:tcPr>
          <w:p>
            <w:r>
              <w:rPr>
                <w:sz w:val="17"/>
                <w:color w:val="000000"/>
                <w:lang w:val="es-AR" w:eastAsia="es-AR" w:bidi="es-AR"/>
              </w:rPr>
              <w:t>Modelo SARIMA para series temporales estacionales.</w:t>
            </w:r>
          </w:p>
        </w:tc>
      </w:tr>
      <w:tr>
        <w:trPr>
          <w:cantSplit w:val="1"/>
        </w:trPr>
        <w:tc>
          <w:tcPr>
            <w:tcW w:type="dxa" w:w="3118"/>
            <w:vAlign w:val="center"/>
          </w:tcPr>
          <w:p>
            <w:r>
              <w:rPr>
                <w:sz w:val="17"/>
                <w:color w:val="000000"/>
                <w:lang w:val="es-AR" w:eastAsia="es-AR" w:bidi="es-AR"/>
              </w:rPr>
              <w:t>XGBoost</w:t>
            </w:r>
          </w:p>
        </w:tc>
        <w:tc>
          <w:tcPr>
            <w:tcW w:type="dxa" w:w="5783"/>
            <w:vAlign w:val="center"/>
          </w:tcPr>
          <w:p>
            <w:r>
              <w:rPr>
                <w:sz w:val="17"/>
                <w:color w:val="000000"/>
                <w:lang w:val="es-AR" w:eastAsia="es-AR" w:bidi="es-AR"/>
              </w:rPr>
              <w:t>Modelo supervisado con variables temporales, lags y media móvil.</w:t>
            </w:r>
          </w:p>
        </w:tc>
      </w:tr>
      <w:tr>
        <w:trPr>
          <w:cantSplit w:val="1"/>
        </w:trPr>
        <w:tc>
          <w:tcPr>
            <w:tcW w:type="dxa" w:w="3118"/>
            <w:shd w:fill="F3F6F7"/>
            <w:vAlign w:val="center"/>
          </w:tcPr>
          <w:p>
            <w:r>
              <w:rPr>
                <w:sz w:val="17"/>
                <w:color w:val="000000"/>
                <w:lang w:val="es-AR" w:eastAsia="es-AR" w:bidi="es-AR"/>
              </w:rPr>
              <w:t>Pathlib / JSON / argparse</w:t>
            </w:r>
          </w:p>
        </w:tc>
        <w:tc>
          <w:tcPr>
            <w:tcW w:type="dxa" w:w="5783"/>
            <w:shd w:fill="F3F6F7"/>
            <w:vAlign w:val="center"/>
          </w:tcPr>
          <w:p>
            <w:r>
              <w:rPr>
                <w:sz w:val="17"/>
                <w:color w:val="000000"/>
                <w:lang w:val="es-AR" w:eastAsia="es-AR" w:bidi="es-AR"/>
              </w:rPr>
              <w:t>Rutas portables, resultados estructurados y ejecución reproducible.</w:t>
            </w:r>
          </w:p>
        </w:tc>
      </w:tr>
    </w:tbl>
    <w:p>
      <w:pPr>
        <w:pStyle w:val="Heading2"/>
      </w:pPr>
      <w:r>
        <w:rPr>
          <w:color w:val="000000"/>
          <w:lang w:val="es-AR" w:eastAsia="es-AR" w:bidi="es-AR"/>
        </w:rPr>
        <w:t>3.1 Decisiones de diseño</w:t>
      </w:r>
    </w:p>
    <w:p>
      <w:pPr>
        <w:pStyle w:val="ListBullet"/>
        <w:spacing w:after="40"/>
      </w:pPr>
      <w:r>
        <w:rPr>
          <w:color w:val="000000"/>
          <w:lang w:val="es-AR" w:eastAsia="es-AR" w:bidi="es-AR"/>
        </w:rPr>
        <w:t>Se eliminó la ruta rígida de Windows como dependencia del flujo y se adoptó una ejecución parametrizable.</w:t>
      </w:r>
    </w:p>
    <w:p>
      <w:pPr>
        <w:pStyle w:val="ListBullet"/>
        <w:spacing w:after="40"/>
      </w:pPr>
      <w:r>
        <w:rPr>
          <w:color w:val="000000"/>
          <w:lang w:val="es-AR" w:eastAsia="es-AR" w:bidi="es-AR"/>
        </w:rPr>
        <w:t>Se reemplazaron bloques repetidos por funciones reutilizables para análisis anual, mensual, horario y pronóstico.</w:t>
      </w:r>
    </w:p>
    <w:p>
      <w:pPr>
        <w:pStyle w:val="ListBullet"/>
        <w:spacing w:after="40"/>
      </w:pPr>
      <w:r>
        <w:rPr>
          <w:color w:val="000000"/>
          <w:lang w:val="es-AR" w:eastAsia="es-AR" w:bidi="es-AR"/>
        </w:rPr>
        <w:t>Los cálculos secundarios permanecen disponibles en tablas, pero el informe principal utiliza solamente indicadores de alto valor.</w:t>
      </w:r>
    </w:p>
    <w:p>
      <w:pPr>
        <w:pStyle w:val="ListBullet"/>
        <w:spacing w:after="40"/>
      </w:pPr>
      <w:r>
        <w:rPr>
          <w:color w:val="000000"/>
          <w:lang w:val="es-AR" w:eastAsia="es-AR" w:bidi="es-AR"/>
        </w:rPr>
        <w:t>La salida se organiza en cuerpo principal, análisis avanzado y anexos metodológicos.</w:t>
      </w:r>
    </w:p>
    <w:p>
      <w:pPr>
        <w:pStyle w:val="ListBullet"/>
        <w:spacing w:after="40"/>
      </w:pPr>
      <w:r>
        <w:rPr>
          <w:color w:val="000000"/>
          <w:lang w:val="es-AR" w:eastAsia="es-AR" w:bidi="es-AR"/>
        </w:rPr>
        <w:t>Los pronósticos se comparan contra un baseline estacional simple; un modelo complejo debe demostrar que realmente mejora una referencia razonable.</w:t>
      </w:r>
    </w:p>
    <w:p>
      <w:bookmarkStart w:id="5" w:name="sec_5_4_Evoluci_n_de_la_demanda_naci"/>
      <w:pPr>
        <w:pStyle w:val="Heading1"/>
      </w:pPr>
      <w:r>
        <w:rPr>
          <w:color w:val="000000"/>
          <w:lang w:val="es-AR" w:eastAsia="es-AR" w:bidi="es-AR"/>
        </w:rPr>
        <w:t>4. Evolución de la demanda nacional</w:t>
      </w:r>
      <w:bookmarkEnd w:id="5"/>
    </w:p>
    <w:tbl>
      <w:tblPr>
        <w:tblStyle w:val="TableGrid"/>
        <w:tblW w:type="auto" w:w="0"/>
        <w:jc w:val="center"/>
        <w:tblLook w:firstColumn="1" w:firstRow="1" w:lastColumn="0" w:lastRow="0" w:noHBand="0" w:noVBand="1" w:val="04A0"/>
      </w:tblPr>
      <w:tblGrid>
        <w:gridCol w:w="3213"/>
        <w:gridCol w:w="3213"/>
        <w:gridCol w:w="3213"/>
      </w:tblGrid>
      <w:tr>
        <w:trPr>
          <w:tblHeader w:val="true"/>
          <w:cantSplit w:val="1"/>
        </w:trPr>
        <w:tc>
          <w:tcPr>
            <w:tcW w:type="dxa" w:w="1701"/>
            <w:shd w:fill="0B4F59"/>
            <w:vAlign w:val="center"/>
          </w:tcPr>
          <w:p>
            <w:r>
              <w:rPr>
                <w:b/>
                <w:color w:val="000000"/>
                <w:sz w:val="18"/>
                <w:lang w:val="es-AR" w:eastAsia="es-AR" w:bidi="es-AR"/>
              </w:rPr>
              <w:t>Año</w:t>
            </w:r>
          </w:p>
        </w:tc>
        <w:tc>
          <w:tcPr>
            <w:tcW w:type="dxa" w:w="2835"/>
            <w:shd w:fill="0B4F59"/>
            <w:vAlign w:val="center"/>
          </w:tcPr>
          <w:p>
            <w:r>
              <w:rPr>
                <w:b/>
                <w:color w:val="000000"/>
                <w:sz w:val="18"/>
                <w:lang w:val="es-AR" w:eastAsia="es-AR" w:bidi="es-AR"/>
              </w:rPr>
              <w:t>Demanda (TWh)</w:t>
            </w:r>
          </w:p>
        </w:tc>
        <w:tc>
          <w:tcPr>
            <w:tcW w:type="dxa" w:w="2835"/>
            <w:shd w:fill="0B4F59"/>
            <w:vAlign w:val="center"/>
          </w:tcPr>
          <w:p>
            <w:r>
              <w:rPr>
                <w:b/>
                <w:color w:val="000000"/>
                <w:sz w:val="18"/>
                <w:lang w:val="es-AR" w:eastAsia="es-AR" w:bidi="es-AR"/>
              </w:rPr>
              <w:t>Variación interanual</w:t>
            </w:r>
          </w:p>
        </w:tc>
      </w:tr>
      <w:tr>
        <w:trPr>
          <w:cantSplit w:val="1"/>
        </w:trPr>
        <w:tc>
          <w:tcPr>
            <w:tcW w:type="dxa" w:w="1701"/>
            <w:vAlign w:val="center"/>
          </w:tcPr>
          <w:p>
            <w:r>
              <w:rPr>
                <w:sz w:val="18"/>
                <w:color w:val="000000"/>
                <w:lang w:val="es-AR" w:eastAsia="es-AR" w:bidi="es-AR"/>
              </w:rPr>
              <w:t>2023</w:t>
            </w:r>
          </w:p>
        </w:tc>
        <w:tc>
          <w:tcPr>
            <w:tcW w:type="dxa" w:w="2835"/>
            <w:vAlign w:val="center"/>
          </w:tcPr>
          <w:p>
            <w:r>
              <w:rPr>
                <w:sz w:val="18"/>
                <w:color w:val="000000"/>
                <w:lang w:val="es-AR" w:eastAsia="es-AR" w:bidi="es-AR"/>
              </w:rPr>
              <w:t>140.88</w:t>
            </w:r>
          </w:p>
        </w:tc>
        <w:tc>
          <w:tcPr>
            <w:tcW w:type="dxa" w:w="2835"/>
            <w:vAlign w:val="center"/>
          </w:tcPr>
          <w:p>
            <w:r>
              <w:rPr>
                <w:sz w:val="18"/>
                <w:color w:val="000000"/>
                <w:lang w:val="es-AR" w:eastAsia="es-AR" w:bidi="es-AR"/>
              </w:rPr>
              <w:t>—</w:t>
            </w:r>
          </w:p>
        </w:tc>
      </w:tr>
      <w:tr>
        <w:trPr>
          <w:cantSplit w:val="1"/>
        </w:trPr>
        <w:tc>
          <w:tcPr>
            <w:tcW w:type="dxa" w:w="1701"/>
            <w:shd w:fill="F3F6F7"/>
            <w:vAlign w:val="center"/>
          </w:tcPr>
          <w:p>
            <w:r>
              <w:rPr>
                <w:sz w:val="18"/>
                <w:color w:val="000000"/>
                <w:lang w:val="es-AR" w:eastAsia="es-AR" w:bidi="es-AR"/>
              </w:rPr>
              <w:t>2024</w:t>
            </w:r>
          </w:p>
        </w:tc>
        <w:tc>
          <w:tcPr>
            <w:tcW w:type="dxa" w:w="2835"/>
            <w:shd w:fill="F3F6F7"/>
            <w:vAlign w:val="center"/>
          </w:tcPr>
          <w:p>
            <w:r>
              <w:rPr>
                <w:sz w:val="18"/>
                <w:color w:val="000000"/>
                <w:lang w:val="es-AR" w:eastAsia="es-AR" w:bidi="es-AR"/>
              </w:rPr>
              <w:t>140.22</w:t>
            </w:r>
          </w:p>
        </w:tc>
        <w:tc>
          <w:tcPr>
            <w:tcW w:type="dxa" w:w="2835"/>
            <w:shd w:fill="F3F6F7"/>
            <w:vAlign w:val="center"/>
          </w:tcPr>
          <w:p>
            <w:r>
              <w:rPr>
                <w:sz w:val="18"/>
                <w:color w:val="000000"/>
                <w:lang w:val="es-AR" w:eastAsia="es-AR" w:bidi="es-AR"/>
              </w:rPr>
              <w:t>-0.47 %</w:t>
            </w:r>
          </w:p>
        </w:tc>
      </w:tr>
      <w:tr>
        <w:trPr>
          <w:cantSplit w:val="1"/>
        </w:trPr>
        <w:tc>
          <w:tcPr>
            <w:tcW w:type="dxa" w:w="1701"/>
            <w:vAlign w:val="center"/>
          </w:tcPr>
          <w:p>
            <w:r>
              <w:rPr>
                <w:sz w:val="18"/>
                <w:color w:val="000000"/>
                <w:lang w:val="es-AR" w:eastAsia="es-AR" w:bidi="es-AR"/>
              </w:rPr>
              <w:t>2025</w:t>
            </w:r>
          </w:p>
        </w:tc>
        <w:tc>
          <w:tcPr>
            <w:tcW w:type="dxa" w:w="2835"/>
            <w:vAlign w:val="center"/>
          </w:tcPr>
          <w:p>
            <w:r>
              <w:rPr>
                <w:sz w:val="18"/>
                <w:color w:val="000000"/>
                <w:lang w:val="es-AR" w:eastAsia="es-AR" w:bidi="es-AR"/>
              </w:rPr>
              <w:t>141.25</w:t>
            </w:r>
          </w:p>
        </w:tc>
        <w:tc>
          <w:tcPr>
            <w:tcW w:type="dxa" w:w="2835"/>
            <w:vAlign w:val="center"/>
          </w:tcPr>
          <w:p>
            <w:r>
              <w:rPr>
                <w:sz w:val="18"/>
                <w:color w:val="000000"/>
                <w:lang w:val="es-AR" w:eastAsia="es-AR" w:bidi="es-AR"/>
              </w:rPr>
              <w:t>+0.74 %</w:t>
            </w:r>
          </w:p>
        </w:tc>
      </w:tr>
    </w:tbl>
    <w:p>
      <w:r>
        <w:rPr>
          <w:color w:val="000000"/>
          <w:lang w:val="es-AR" w:eastAsia="es-AR" w:bidi="es-AR"/>
        </w:rPr>
        <w:t>Entre 2023 y 2025 la demanda nacional acumulada aumentó apenas 0,26 %. En 2024 se observó una reducción de 0,47 % respecto de 2023 y en 2025 un aumento de 0,74 % respecto de 2024. El principal mensaje no es una tendencia de crecimiento fuerte, sino la estabilidad agregada del período.</w:t>
      </w:r>
    </w:p>
    <w:tbl>
      <w:tblPr>
        <w:tblW w:type="auto" w:w="0"/>
        <w:jc w:val="center"/>
        <w:tblLook w:firstColumn="1" w:firstRow="1" w:lastColumn="0" w:lastRow="0" w:noHBand="0" w:noVBand="1" w:val="04A0"/>
      </w:tblPr>
      <w:tblGrid>
        <w:gridCol w:w="9638"/>
      </w:tblGrid>
      <w:tr>
        <w:trPr>
          <w:cantSplit w:val="1"/>
        </w:trPr>
        <w:tc>
          <w:tcPr>
            <w:tcW w:type="dxa" w:w="9638"/>
            <w:shd w:fill="EAF4F5"/>
            <w:tcMar>
              <w:top w:w="160" w:type="dxa"/>
              <w:start w:w="180" w:type="dxa"/>
              <w:bottom w:w="160" w:type="dxa"/>
              <w:end w:w="180" w:type="dxa"/>
            </w:tcMar>
          </w:tcPr>
          <w:p>
            <w:r>
              <w:rPr>
                <w:b/>
                <w:color w:val="000000"/>
                <w:sz w:val="22"/>
                <w:lang w:val="es-AR" w:eastAsia="es-AR" w:bidi="es-AR"/>
              </w:rPr>
              <w:t>Lectura correcta</w:t>
              <w:br/>
            </w:r>
            <w:r>
              <w:rPr>
                <w:sz w:val="20"/>
                <w:color w:val="000000"/>
                <w:lang w:val="es-AR" w:eastAsia="es-AR" w:bidi="es-AR"/>
              </w:rPr>
              <w:t>La estabilidad nacional no significa que todas las provincias hayan permanecido estables. El análisis territorial muestra movimientos mucho mayores que se compensan entre sí.</w:t>
            </w:r>
          </w:p>
        </w:tc>
      </w:tr>
    </w:tbl>
    <w:p/>
    <w:p>
      <w:bookmarkStart w:id="6" w:name="sec_6_5_Estructura_territorial_de_la"/>
      <w:pPr>
        <w:pStyle w:val="Heading1"/>
      </w:pPr>
      <w:r>
        <w:rPr>
          <w:color w:val="000000"/>
          <w:lang w:val="es-AR" w:eastAsia="es-AR" w:bidi="es-AR"/>
        </w:rPr>
        <w:t>5. Estructura territorial de la demanda</w:t>
      </w:r>
      <w:bookmarkEnd w:id="6"/>
    </w:p>
    <w:p>
      <w:pPr>
        <w:pStyle w:val="Heading2"/>
      </w:pPr>
      <w:r>
        <w:rPr>
          <w:color w:val="000000"/>
          <w:lang w:val="es-AR" w:eastAsia="es-AR" w:bidi="es-AR"/>
        </w:rPr>
        <w:t>5.1 Concentración provincial</w:t>
      </w:r>
    </w:p>
    <w:p>
      <w:pPr>
        <w:jc w:val="center"/>
      </w:pPr>
      <w:r>
        <w:rPr>
          <w:color w:val="000000"/>
          <w:lang w:val="es-AR" w:eastAsia="es-AR" w:bidi="es-AR"/>
        </w:rPr>
        <w:drawing>
          <wp:inline xmlns:a="http://schemas.openxmlformats.org/drawingml/2006/main" xmlns:pic="http://schemas.openxmlformats.org/drawingml/2006/picture">
            <wp:extent cx="5688000" cy="3661830"/>
            <wp:docPr id="1" name="Picture 1"/>
            <wp:cNvGraphicFramePr>
              <a:graphicFrameLocks noChangeAspect="1"/>
            </wp:cNvGraphicFramePr>
            <a:graphic>
              <a:graphicData uri="http://schemas.openxmlformats.org/drawingml/2006/picture">
                <pic:pic>
                  <pic:nvPicPr>
                    <pic:cNvPr id="0" name="01_participacion_provincial_2025.png"/>
                    <pic:cNvPicPr/>
                  </pic:nvPicPr>
                  <pic:blipFill>
                    <a:blip r:embed="rId11"/>
                    <a:stretch>
                      <a:fillRect/>
                    </a:stretch>
                  </pic:blipFill>
                  <pic:spPr>
                    <a:xfrm>
                      <a:off x="0" y="0"/>
                      <a:ext cx="5688000" cy="3661830"/>
                    </a:xfrm>
                    <a:prstGeom prst="rect"/>
                  </pic:spPr>
                </pic:pic>
              </a:graphicData>
            </a:graphic>
          </wp:inline>
        </w:drawing>
      </w:r>
    </w:p>
    <w:p>
      <w:pPr>
        <w:jc w:val="center"/>
      </w:pPr>
      <w:r>
        <w:rPr>
          <w:i/>
          <w:color w:val="000000"/>
          <w:sz w:val="18"/>
          <w:lang w:val="es-AR" w:eastAsia="es-AR" w:bidi="es-AR"/>
        </w:rPr>
        <w:t>Figura 1. Participación de las 10 provincias de mayor demanda en 2025. Fuente: elaboración propia sobre la base analizada.</w:t>
      </w:r>
    </w:p>
    <w:tbl>
      <w:tblPr>
        <w:tblStyle w:val="TableGrid"/>
        <w:tblW w:type="auto" w:w="0"/>
        <w:jc w:val="center"/>
        <w:tblLook w:firstColumn="1" w:firstRow="1" w:lastColumn="0" w:lastRow="0" w:noHBand="0" w:noVBand="1" w:val="04A0"/>
      </w:tblPr>
      <w:tblGrid>
        <w:gridCol w:w="4819"/>
        <w:gridCol w:w="4819"/>
      </w:tblGrid>
      <w:tr>
        <w:trPr>
          <w:tblHeader w:val="true"/>
          <w:cantSplit w:val="1"/>
        </w:trPr>
        <w:tc>
          <w:tcPr>
            <w:tcW w:type="dxa" w:w="4535"/>
            <w:shd w:fill="0B4F59"/>
            <w:vAlign w:val="center"/>
          </w:tcPr>
          <w:p>
            <w:r>
              <w:rPr>
                <w:b/>
                <w:color w:val="000000"/>
                <w:sz w:val="18"/>
                <w:lang w:val="es-AR" w:eastAsia="es-AR" w:bidi="es-AR"/>
              </w:rPr>
              <w:t>Provincia</w:t>
            </w:r>
          </w:p>
        </w:tc>
        <w:tc>
          <w:tcPr>
            <w:tcW w:type="dxa" w:w="2835"/>
            <w:shd w:fill="0B4F59"/>
            <w:vAlign w:val="center"/>
          </w:tcPr>
          <w:p>
            <w:r>
              <w:rPr>
                <w:b/>
                <w:color w:val="000000"/>
                <w:sz w:val="18"/>
                <w:lang w:val="es-AR" w:eastAsia="es-AR" w:bidi="es-AR"/>
              </w:rPr>
              <w:t>Participación 2025</w:t>
            </w:r>
          </w:p>
        </w:tc>
      </w:tr>
      <w:tr>
        <w:trPr>
          <w:cantSplit w:val="1"/>
        </w:trPr>
        <w:tc>
          <w:tcPr>
            <w:tcW w:type="dxa" w:w="4535"/>
            <w:vAlign w:val="center"/>
          </w:tcPr>
          <w:p>
            <w:r>
              <w:rPr>
                <w:sz w:val="18"/>
                <w:color w:val="000000"/>
                <w:lang w:val="es-AR" w:eastAsia="es-AR" w:bidi="es-AR"/>
              </w:rPr>
              <w:t>Buenos Aires</w:t>
            </w:r>
          </w:p>
        </w:tc>
        <w:tc>
          <w:tcPr>
            <w:tcW w:type="dxa" w:w="2835"/>
            <w:vAlign w:val="center"/>
          </w:tcPr>
          <w:p>
            <w:r>
              <w:rPr>
                <w:sz w:val="18"/>
                <w:color w:val="000000"/>
                <w:lang w:val="es-AR" w:eastAsia="es-AR" w:bidi="es-AR"/>
              </w:rPr>
              <w:t>49.00 %</w:t>
            </w:r>
          </w:p>
        </w:tc>
      </w:tr>
      <w:tr>
        <w:trPr>
          <w:cantSplit w:val="1"/>
        </w:trPr>
        <w:tc>
          <w:tcPr>
            <w:tcW w:type="dxa" w:w="4535"/>
            <w:shd w:fill="F3F6F7"/>
            <w:vAlign w:val="center"/>
          </w:tcPr>
          <w:p>
            <w:r>
              <w:rPr>
                <w:sz w:val="18"/>
                <w:color w:val="000000"/>
                <w:lang w:val="es-AR" w:eastAsia="es-AR" w:bidi="es-AR"/>
              </w:rPr>
              <w:t>Santa Fe</w:t>
            </w:r>
          </w:p>
        </w:tc>
        <w:tc>
          <w:tcPr>
            <w:tcW w:type="dxa" w:w="2835"/>
            <w:shd w:fill="F3F6F7"/>
            <w:vAlign w:val="center"/>
          </w:tcPr>
          <w:p>
            <w:r>
              <w:rPr>
                <w:sz w:val="18"/>
                <w:color w:val="000000"/>
                <w:lang w:val="es-AR" w:eastAsia="es-AR" w:bidi="es-AR"/>
              </w:rPr>
              <w:t>9.03 %</w:t>
            </w:r>
          </w:p>
        </w:tc>
      </w:tr>
      <w:tr>
        <w:trPr>
          <w:cantSplit w:val="1"/>
        </w:trPr>
        <w:tc>
          <w:tcPr>
            <w:tcW w:type="dxa" w:w="4535"/>
            <w:vAlign w:val="center"/>
          </w:tcPr>
          <w:p>
            <w:r>
              <w:rPr>
                <w:sz w:val="18"/>
                <w:color w:val="000000"/>
                <w:lang w:val="es-AR" w:eastAsia="es-AR" w:bidi="es-AR"/>
              </w:rPr>
              <w:t>Cordoba</w:t>
            </w:r>
          </w:p>
        </w:tc>
        <w:tc>
          <w:tcPr>
            <w:tcW w:type="dxa" w:w="2835"/>
            <w:vAlign w:val="center"/>
          </w:tcPr>
          <w:p>
            <w:r>
              <w:rPr>
                <w:sz w:val="18"/>
                <w:color w:val="000000"/>
                <w:lang w:val="es-AR" w:eastAsia="es-AR" w:bidi="es-AR"/>
              </w:rPr>
              <w:t>7.71 %</w:t>
            </w:r>
          </w:p>
        </w:tc>
      </w:tr>
      <w:tr>
        <w:trPr>
          <w:cantSplit w:val="1"/>
        </w:trPr>
        <w:tc>
          <w:tcPr>
            <w:tcW w:type="dxa" w:w="4535"/>
            <w:shd w:fill="F3F6F7"/>
            <w:vAlign w:val="center"/>
          </w:tcPr>
          <w:p>
            <w:r>
              <w:rPr>
                <w:sz w:val="18"/>
                <w:color w:val="000000"/>
                <w:lang w:val="es-AR" w:eastAsia="es-AR" w:bidi="es-AR"/>
              </w:rPr>
              <w:t>Mendoza</w:t>
            </w:r>
          </w:p>
        </w:tc>
        <w:tc>
          <w:tcPr>
            <w:tcW w:type="dxa" w:w="2835"/>
            <w:shd w:fill="F3F6F7"/>
            <w:vAlign w:val="center"/>
          </w:tcPr>
          <w:p>
            <w:r>
              <w:rPr>
                <w:sz w:val="18"/>
                <w:color w:val="000000"/>
                <w:lang w:val="es-AR" w:eastAsia="es-AR" w:bidi="es-AR"/>
              </w:rPr>
              <w:t>4.16 %</w:t>
            </w:r>
          </w:p>
        </w:tc>
      </w:tr>
      <w:tr>
        <w:trPr>
          <w:cantSplit w:val="1"/>
        </w:trPr>
        <w:tc>
          <w:tcPr>
            <w:tcW w:type="dxa" w:w="4535"/>
            <w:vAlign w:val="center"/>
          </w:tcPr>
          <w:p>
            <w:r>
              <w:rPr>
                <w:sz w:val="18"/>
                <w:color w:val="000000"/>
                <w:lang w:val="es-AR" w:eastAsia="es-AR" w:bidi="es-AR"/>
              </w:rPr>
              <w:t>Chubut</w:t>
            </w:r>
          </w:p>
        </w:tc>
        <w:tc>
          <w:tcPr>
            <w:tcW w:type="dxa" w:w="2835"/>
            <w:vAlign w:val="center"/>
          </w:tcPr>
          <w:p>
            <w:r>
              <w:rPr>
                <w:sz w:val="18"/>
                <w:color w:val="000000"/>
                <w:lang w:val="es-AR" w:eastAsia="es-AR" w:bidi="es-AR"/>
              </w:rPr>
              <w:t>3.59 %</w:t>
            </w:r>
          </w:p>
        </w:tc>
      </w:tr>
      <w:tr>
        <w:trPr>
          <w:cantSplit w:val="1"/>
        </w:trPr>
        <w:tc>
          <w:tcPr>
            <w:tcW w:type="dxa" w:w="4535"/>
            <w:shd w:fill="F3F6F7"/>
            <w:vAlign w:val="center"/>
          </w:tcPr>
          <w:p>
            <w:r>
              <w:rPr>
                <w:sz w:val="18"/>
                <w:color w:val="000000"/>
                <w:lang w:val="es-AR" w:eastAsia="es-AR" w:bidi="es-AR"/>
              </w:rPr>
              <w:t>Top 5 conjunto</w:t>
            </w:r>
          </w:p>
        </w:tc>
        <w:tc>
          <w:tcPr>
            <w:tcW w:type="dxa" w:w="2835"/>
            <w:shd w:fill="F3F6F7"/>
            <w:vAlign w:val="center"/>
          </w:tcPr>
          <w:p>
            <w:r>
              <w:rPr>
                <w:sz w:val="18"/>
                <w:color w:val="000000"/>
                <w:lang w:val="es-AR" w:eastAsia="es-AR" w:bidi="es-AR"/>
              </w:rPr>
              <w:t>73.49 %</w:t>
            </w:r>
          </w:p>
        </w:tc>
      </w:tr>
    </w:tbl>
    <w:p>
      <w:r>
        <w:rPr>
          <w:color w:val="000000"/>
          <w:lang w:val="es-AR" w:eastAsia="es-AR" w:bidi="es-AR"/>
        </w:rPr>
        <w:t>Buenos Aires concentra aproximadamente la mitad de la demanda nacional (49,00 %). Santa Fe y Córdoba ocupan el segundo y tercer lugar. En conjunto, las cinco primeras provincias explican 73,49 % del total de 2025. Esta concentración es relevante para cualquier análisis operativo o predictivo: un error en las provincias de mayor peso puede impactar fuertemente el resultado nacional.</w:t>
      </w:r>
    </w:p>
    <w:p>
      <w:pPr>
        <w:pStyle w:val="Heading2"/>
      </w:pPr>
      <w:r>
        <w:rPr>
          <w:color w:val="000000"/>
          <w:lang w:val="es-AR" w:eastAsia="es-AR" w:bidi="es-AR"/>
        </w:rPr>
        <w:t>5.2 Provincias que crecieron y disminuyeron</w:t>
      </w:r>
    </w:p>
    <w:p>
      <w:pPr>
        <w:jc w:val="center"/>
      </w:pPr>
      <w:r>
        <w:rPr>
          <w:color w:val="000000"/>
          <w:lang w:val="es-AR" w:eastAsia="es-AR" w:bidi="es-AR"/>
        </w:rPr>
        <w:drawing>
          <wp:inline xmlns:a="http://schemas.openxmlformats.org/drawingml/2006/main" xmlns:pic="http://schemas.openxmlformats.org/drawingml/2006/picture">
            <wp:extent cx="5544000" cy="4414033"/>
            <wp:docPr id="2" name="Picture 2"/>
            <wp:cNvGraphicFramePr>
              <a:graphicFrameLocks noChangeAspect="1"/>
            </wp:cNvGraphicFramePr>
            <a:graphic>
              <a:graphicData uri="http://schemas.openxmlformats.org/drawingml/2006/picture">
                <pic:pic>
                  <pic:nvPicPr>
                    <pic:cNvPr id="0" name="02_variacion_provincial_2023_2025.png"/>
                    <pic:cNvPicPr/>
                  </pic:nvPicPr>
                  <pic:blipFill>
                    <a:blip r:embed="rId12"/>
                    <a:stretch>
                      <a:fillRect/>
                    </a:stretch>
                  </pic:blipFill>
                  <pic:spPr>
                    <a:xfrm>
                      <a:off x="0" y="0"/>
                      <a:ext cx="5544000" cy="4414033"/>
                    </a:xfrm>
                    <a:prstGeom prst="rect"/>
                  </pic:spPr>
                </pic:pic>
              </a:graphicData>
            </a:graphic>
          </wp:inline>
        </w:drawing>
      </w:r>
    </w:p>
    <w:p>
      <w:pPr>
        <w:jc w:val="center"/>
      </w:pPr>
      <w:r>
        <w:rPr>
          <w:i/>
          <w:color w:val="000000"/>
          <w:sz w:val="18"/>
          <w:lang w:val="es-AR" w:eastAsia="es-AR" w:bidi="es-AR"/>
        </w:rPr>
        <w:t>Figura 2. Variación acumulada de la demanda provincial entre 2023 y 2025.</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1"/>
        </w:trPr>
        <w:tc>
          <w:tcPr>
            <w:tcW w:type="dxa" w:w="3118"/>
            <w:shd w:fill="0B4F59"/>
            <w:vAlign w:val="center"/>
          </w:tcPr>
          <w:p>
            <w:r>
              <w:rPr>
                <w:b/>
                <w:color w:val="000000"/>
                <w:sz w:val="17"/>
                <w:lang w:val="es-AR" w:eastAsia="es-AR" w:bidi="es-AR"/>
              </w:rPr>
              <w:t>Provincia</w:t>
            </w:r>
          </w:p>
        </w:tc>
        <w:tc>
          <w:tcPr>
            <w:tcW w:type="dxa" w:w="3118"/>
            <w:shd w:fill="0B4F59"/>
            <w:vAlign w:val="center"/>
          </w:tcPr>
          <w:p>
            <w:r>
              <w:rPr>
                <w:b/>
                <w:color w:val="000000"/>
                <w:sz w:val="17"/>
                <w:lang w:val="es-AR" w:eastAsia="es-AR" w:bidi="es-AR"/>
              </w:rPr>
              <w:t>Lectura</w:t>
            </w:r>
          </w:p>
        </w:tc>
        <w:tc>
          <w:tcPr>
            <w:tcW w:type="dxa" w:w="2268"/>
            <w:shd w:fill="0B4F59"/>
            <w:vAlign w:val="center"/>
          </w:tcPr>
          <w:p>
            <w:r>
              <w:rPr>
                <w:b/>
                <w:color w:val="000000"/>
                <w:sz w:val="17"/>
                <w:lang w:val="es-AR" w:eastAsia="es-AR" w:bidi="es-AR"/>
              </w:rPr>
              <w:t>Variación 2023–2025</w:t>
            </w:r>
          </w:p>
        </w:tc>
      </w:tr>
      <w:tr>
        <w:trPr>
          <w:cantSplit w:val="1"/>
        </w:trPr>
        <w:tc>
          <w:tcPr>
            <w:tcW w:type="dxa" w:w="3118"/>
            <w:vAlign w:val="center"/>
          </w:tcPr>
          <w:p>
            <w:r>
              <w:rPr>
                <w:sz w:val="17"/>
                <w:color w:val="000000"/>
                <w:lang w:val="es-AR" w:eastAsia="es-AR" w:bidi="es-AR"/>
              </w:rPr>
              <w:t>Chubut</w:t>
            </w:r>
          </w:p>
        </w:tc>
        <w:tc>
          <w:tcPr>
            <w:tcW w:type="dxa" w:w="3118"/>
            <w:vAlign w:val="center"/>
          </w:tcPr>
          <w:p>
            <w:r>
              <w:rPr>
                <w:sz w:val="17"/>
                <w:color w:val="000000"/>
                <w:lang w:val="es-AR" w:eastAsia="es-AR" w:bidi="es-AR"/>
              </w:rPr>
              <w:t>Mayor crecimiento</w:t>
            </w:r>
          </w:p>
        </w:tc>
        <w:tc>
          <w:tcPr>
            <w:tcW w:type="dxa" w:w="2268"/>
            <w:vAlign w:val="center"/>
          </w:tcPr>
          <w:p>
            <w:r>
              <w:rPr>
                <w:sz w:val="17"/>
                <w:color w:val="000000"/>
                <w:lang w:val="es-AR" w:eastAsia="es-AR" w:bidi="es-AR"/>
              </w:rPr>
              <w:t>+15.99 %</w:t>
            </w:r>
          </w:p>
        </w:tc>
      </w:tr>
      <w:tr>
        <w:trPr>
          <w:cantSplit w:val="1"/>
        </w:trPr>
        <w:tc>
          <w:tcPr>
            <w:tcW w:type="dxa" w:w="3118"/>
            <w:shd w:fill="F3F6F7"/>
            <w:vAlign w:val="center"/>
          </w:tcPr>
          <w:p>
            <w:r>
              <w:rPr>
                <w:sz w:val="17"/>
                <w:color w:val="000000"/>
                <w:lang w:val="es-AR" w:eastAsia="es-AR" w:bidi="es-AR"/>
              </w:rPr>
              <w:t>Santa Cruz</w:t>
            </w:r>
          </w:p>
        </w:tc>
        <w:tc>
          <w:tcPr>
            <w:tcW w:type="dxa" w:w="3118"/>
            <w:shd w:fill="F3F6F7"/>
            <w:vAlign w:val="center"/>
          </w:tcPr>
          <w:p>
            <w:r>
              <w:rPr>
                <w:sz w:val="17"/>
                <w:color w:val="000000"/>
                <w:lang w:val="es-AR" w:eastAsia="es-AR" w:bidi="es-AR"/>
              </w:rPr>
              <w:t>Mayor crecimiento</w:t>
            </w:r>
          </w:p>
        </w:tc>
        <w:tc>
          <w:tcPr>
            <w:tcW w:type="dxa" w:w="2268"/>
            <w:shd w:fill="F3F6F7"/>
            <w:vAlign w:val="center"/>
          </w:tcPr>
          <w:p>
            <w:r>
              <w:rPr>
                <w:sz w:val="17"/>
                <w:color w:val="000000"/>
                <w:lang w:val="es-AR" w:eastAsia="es-AR" w:bidi="es-AR"/>
              </w:rPr>
              <w:t>+9.24 %</w:t>
            </w:r>
          </w:p>
        </w:tc>
      </w:tr>
      <w:tr>
        <w:trPr>
          <w:cantSplit w:val="1"/>
        </w:trPr>
        <w:tc>
          <w:tcPr>
            <w:tcW w:type="dxa" w:w="3118"/>
            <w:vAlign w:val="center"/>
          </w:tcPr>
          <w:p>
            <w:r>
              <w:rPr>
                <w:sz w:val="17"/>
                <w:color w:val="000000"/>
                <w:lang w:val="es-AR" w:eastAsia="es-AR" w:bidi="es-AR"/>
              </w:rPr>
              <w:t>Neuquen</w:t>
            </w:r>
          </w:p>
        </w:tc>
        <w:tc>
          <w:tcPr>
            <w:tcW w:type="dxa" w:w="3118"/>
            <w:vAlign w:val="center"/>
          </w:tcPr>
          <w:p>
            <w:r>
              <w:rPr>
                <w:sz w:val="17"/>
                <w:color w:val="000000"/>
                <w:lang w:val="es-AR" w:eastAsia="es-AR" w:bidi="es-AR"/>
              </w:rPr>
              <w:t>Mayor crecimiento</w:t>
            </w:r>
          </w:p>
        </w:tc>
        <w:tc>
          <w:tcPr>
            <w:tcW w:type="dxa" w:w="2268"/>
            <w:vAlign w:val="center"/>
          </w:tcPr>
          <w:p>
            <w:r>
              <w:rPr>
                <w:sz w:val="17"/>
                <w:color w:val="000000"/>
                <w:lang w:val="es-AR" w:eastAsia="es-AR" w:bidi="es-AR"/>
              </w:rPr>
              <w:t>+6.51 %</w:t>
            </w:r>
          </w:p>
        </w:tc>
      </w:tr>
      <w:tr>
        <w:trPr>
          <w:cantSplit w:val="1"/>
        </w:trPr>
        <w:tc>
          <w:tcPr>
            <w:tcW w:type="dxa" w:w="3118"/>
            <w:shd w:fill="F3F6F7"/>
            <w:vAlign w:val="center"/>
          </w:tcPr>
          <w:p>
            <w:r>
              <w:rPr>
                <w:sz w:val="17"/>
                <w:color w:val="000000"/>
                <w:lang w:val="es-AR" w:eastAsia="es-AR" w:bidi="es-AR"/>
              </w:rPr>
              <w:t>Sgo Del Estero</w:t>
            </w:r>
          </w:p>
        </w:tc>
        <w:tc>
          <w:tcPr>
            <w:tcW w:type="dxa" w:w="3118"/>
            <w:shd w:fill="F3F6F7"/>
            <w:vAlign w:val="center"/>
          </w:tcPr>
          <w:p>
            <w:r>
              <w:rPr>
                <w:sz w:val="17"/>
                <w:color w:val="000000"/>
                <w:lang w:val="es-AR" w:eastAsia="es-AR" w:bidi="es-AR"/>
              </w:rPr>
              <w:t>Mayor crecimiento</w:t>
            </w:r>
          </w:p>
        </w:tc>
        <w:tc>
          <w:tcPr>
            <w:tcW w:type="dxa" w:w="2268"/>
            <w:shd w:fill="F3F6F7"/>
            <w:vAlign w:val="center"/>
          </w:tcPr>
          <w:p>
            <w:r>
              <w:rPr>
                <w:sz w:val="17"/>
                <w:color w:val="000000"/>
                <w:lang w:val="es-AR" w:eastAsia="es-AR" w:bidi="es-AR"/>
              </w:rPr>
              <w:t>+5.20 %</w:t>
            </w:r>
          </w:p>
        </w:tc>
      </w:tr>
      <w:tr>
        <w:trPr>
          <w:cantSplit w:val="1"/>
        </w:trPr>
        <w:tc>
          <w:tcPr>
            <w:tcW w:type="dxa" w:w="3118"/>
            <w:vAlign w:val="center"/>
          </w:tcPr>
          <w:p>
            <w:r>
              <w:rPr>
                <w:sz w:val="17"/>
                <w:color w:val="000000"/>
                <w:lang w:val="es-AR" w:eastAsia="es-AR" w:bidi="es-AR"/>
              </w:rPr>
              <w:t>Salta</w:t>
            </w:r>
          </w:p>
        </w:tc>
        <w:tc>
          <w:tcPr>
            <w:tcW w:type="dxa" w:w="3118"/>
            <w:vAlign w:val="center"/>
          </w:tcPr>
          <w:p>
            <w:r>
              <w:rPr>
                <w:sz w:val="17"/>
                <w:color w:val="000000"/>
                <w:lang w:val="es-AR" w:eastAsia="es-AR" w:bidi="es-AR"/>
              </w:rPr>
              <w:t>Mayor crecimiento</w:t>
            </w:r>
          </w:p>
        </w:tc>
        <w:tc>
          <w:tcPr>
            <w:tcW w:type="dxa" w:w="2268"/>
            <w:vAlign w:val="center"/>
          </w:tcPr>
          <w:p>
            <w:r>
              <w:rPr>
                <w:sz w:val="17"/>
                <w:color w:val="000000"/>
                <w:lang w:val="es-AR" w:eastAsia="es-AR" w:bidi="es-AR"/>
              </w:rPr>
              <w:t>+5.10 %</w:t>
            </w:r>
          </w:p>
        </w:tc>
      </w:tr>
      <w:tr>
        <w:trPr>
          <w:cantSplit w:val="1"/>
        </w:trPr>
        <w:tc>
          <w:tcPr>
            <w:tcW w:type="dxa" w:w="3118"/>
            <w:shd w:fill="F3F6F7"/>
            <w:vAlign w:val="center"/>
          </w:tcPr>
          <w:p>
            <w:r>
              <w:rPr>
                <w:sz w:val="17"/>
                <w:color w:val="000000"/>
                <w:lang w:val="es-AR" w:eastAsia="es-AR" w:bidi="es-AR"/>
              </w:rPr>
              <w:t>Jujuy</w:t>
            </w:r>
          </w:p>
        </w:tc>
        <w:tc>
          <w:tcPr>
            <w:tcW w:type="dxa" w:w="3118"/>
            <w:shd w:fill="F3F6F7"/>
            <w:vAlign w:val="center"/>
          </w:tcPr>
          <w:p>
            <w:r>
              <w:rPr>
                <w:sz w:val="17"/>
                <w:color w:val="000000"/>
                <w:lang w:val="es-AR" w:eastAsia="es-AR" w:bidi="es-AR"/>
              </w:rPr>
              <w:t>Mayor caída / baja</w:t>
            </w:r>
          </w:p>
        </w:tc>
        <w:tc>
          <w:tcPr>
            <w:tcW w:type="dxa" w:w="2268"/>
            <w:shd w:fill="F3F6F7"/>
            <w:vAlign w:val="center"/>
          </w:tcPr>
          <w:p>
            <w:r>
              <w:rPr>
                <w:sz w:val="17"/>
                <w:color w:val="000000"/>
                <w:lang w:val="es-AR" w:eastAsia="es-AR" w:bidi="es-AR"/>
              </w:rPr>
              <w:t>-3.80 %</w:t>
            </w:r>
          </w:p>
        </w:tc>
      </w:tr>
      <w:tr>
        <w:trPr>
          <w:cantSplit w:val="1"/>
        </w:trPr>
        <w:tc>
          <w:tcPr>
            <w:tcW w:type="dxa" w:w="3118"/>
            <w:vAlign w:val="center"/>
          </w:tcPr>
          <w:p>
            <w:r>
              <w:rPr>
                <w:sz w:val="17"/>
                <w:color w:val="000000"/>
                <w:lang w:val="es-AR" w:eastAsia="es-AR" w:bidi="es-AR"/>
              </w:rPr>
              <w:t>San Luis</w:t>
            </w:r>
          </w:p>
        </w:tc>
        <w:tc>
          <w:tcPr>
            <w:tcW w:type="dxa" w:w="3118"/>
            <w:vAlign w:val="center"/>
          </w:tcPr>
          <w:p>
            <w:r>
              <w:rPr>
                <w:sz w:val="17"/>
                <w:color w:val="000000"/>
                <w:lang w:val="es-AR" w:eastAsia="es-AR" w:bidi="es-AR"/>
              </w:rPr>
              <w:t>Mayor caída / baja</w:t>
            </w:r>
          </w:p>
        </w:tc>
        <w:tc>
          <w:tcPr>
            <w:tcW w:type="dxa" w:w="2268"/>
            <w:vAlign w:val="center"/>
          </w:tcPr>
          <w:p>
            <w:r>
              <w:rPr>
                <w:sz w:val="17"/>
                <w:color w:val="000000"/>
                <w:lang w:val="es-AR" w:eastAsia="es-AR" w:bidi="es-AR"/>
              </w:rPr>
              <w:t>-2.64 %</w:t>
            </w:r>
          </w:p>
        </w:tc>
      </w:tr>
      <w:tr>
        <w:trPr>
          <w:cantSplit w:val="1"/>
        </w:trPr>
        <w:tc>
          <w:tcPr>
            <w:tcW w:type="dxa" w:w="3118"/>
            <w:shd w:fill="F3F6F7"/>
            <w:vAlign w:val="center"/>
          </w:tcPr>
          <w:p>
            <w:r>
              <w:rPr>
                <w:sz w:val="17"/>
                <w:color w:val="000000"/>
                <w:lang w:val="es-AR" w:eastAsia="es-AR" w:bidi="es-AR"/>
              </w:rPr>
              <w:t>Mendoza</w:t>
            </w:r>
          </w:p>
        </w:tc>
        <w:tc>
          <w:tcPr>
            <w:tcW w:type="dxa" w:w="3118"/>
            <w:shd w:fill="F3F6F7"/>
            <w:vAlign w:val="center"/>
          </w:tcPr>
          <w:p>
            <w:r>
              <w:rPr>
                <w:sz w:val="17"/>
                <w:color w:val="000000"/>
                <w:lang w:val="es-AR" w:eastAsia="es-AR" w:bidi="es-AR"/>
              </w:rPr>
              <w:t>Mayor caída / baja</w:t>
            </w:r>
          </w:p>
        </w:tc>
        <w:tc>
          <w:tcPr>
            <w:tcW w:type="dxa" w:w="2268"/>
            <w:shd w:fill="F3F6F7"/>
            <w:vAlign w:val="center"/>
          </w:tcPr>
          <w:p>
            <w:r>
              <w:rPr>
                <w:sz w:val="17"/>
                <w:color w:val="000000"/>
                <w:lang w:val="es-AR" w:eastAsia="es-AR" w:bidi="es-AR"/>
              </w:rPr>
              <w:t>-2.45 %</w:t>
            </w:r>
          </w:p>
        </w:tc>
      </w:tr>
      <w:tr>
        <w:trPr>
          <w:cantSplit w:val="1"/>
        </w:trPr>
        <w:tc>
          <w:tcPr>
            <w:tcW w:type="dxa" w:w="3118"/>
            <w:vAlign w:val="center"/>
          </w:tcPr>
          <w:p>
            <w:r>
              <w:rPr>
                <w:sz w:val="17"/>
                <w:color w:val="000000"/>
                <w:lang w:val="es-AR" w:eastAsia="es-AR" w:bidi="es-AR"/>
              </w:rPr>
              <w:t>Santa Fe</w:t>
            </w:r>
          </w:p>
        </w:tc>
        <w:tc>
          <w:tcPr>
            <w:tcW w:type="dxa" w:w="3118"/>
            <w:vAlign w:val="center"/>
          </w:tcPr>
          <w:p>
            <w:r>
              <w:rPr>
                <w:sz w:val="17"/>
                <w:color w:val="000000"/>
                <w:lang w:val="es-AR" w:eastAsia="es-AR" w:bidi="es-AR"/>
              </w:rPr>
              <w:t>Mayor caída / baja</w:t>
            </w:r>
          </w:p>
        </w:tc>
        <w:tc>
          <w:tcPr>
            <w:tcW w:type="dxa" w:w="2268"/>
            <w:vAlign w:val="center"/>
          </w:tcPr>
          <w:p>
            <w:r>
              <w:rPr>
                <w:sz w:val="17"/>
                <w:color w:val="000000"/>
                <w:lang w:val="es-AR" w:eastAsia="es-AR" w:bidi="es-AR"/>
              </w:rPr>
              <w:t>-1.39 %</w:t>
            </w:r>
          </w:p>
        </w:tc>
      </w:tr>
      <w:tr>
        <w:trPr>
          <w:cantSplit w:val="1"/>
        </w:trPr>
        <w:tc>
          <w:tcPr>
            <w:tcW w:type="dxa" w:w="3118"/>
            <w:shd w:fill="F3F6F7"/>
            <w:vAlign w:val="center"/>
          </w:tcPr>
          <w:p>
            <w:r>
              <w:rPr>
                <w:sz w:val="17"/>
                <w:color w:val="000000"/>
                <w:lang w:val="es-AR" w:eastAsia="es-AR" w:bidi="es-AR"/>
              </w:rPr>
              <w:t>Buenos Aires</w:t>
            </w:r>
          </w:p>
        </w:tc>
        <w:tc>
          <w:tcPr>
            <w:tcW w:type="dxa" w:w="3118"/>
            <w:shd w:fill="F3F6F7"/>
            <w:vAlign w:val="center"/>
          </w:tcPr>
          <w:p>
            <w:r>
              <w:rPr>
                <w:sz w:val="17"/>
                <w:color w:val="000000"/>
                <w:lang w:val="es-AR" w:eastAsia="es-AR" w:bidi="es-AR"/>
              </w:rPr>
              <w:t>Mayor caída / baja</w:t>
            </w:r>
          </w:p>
        </w:tc>
        <w:tc>
          <w:tcPr>
            <w:tcW w:type="dxa" w:w="2268"/>
            <w:shd w:fill="F3F6F7"/>
            <w:vAlign w:val="center"/>
          </w:tcPr>
          <w:p>
            <w:r>
              <w:rPr>
                <w:sz w:val="17"/>
                <w:color w:val="000000"/>
                <w:lang w:val="es-AR" w:eastAsia="es-AR" w:bidi="es-AR"/>
              </w:rPr>
              <w:t>-1.22 %</w:t>
            </w:r>
          </w:p>
        </w:tc>
      </w:tr>
    </w:tbl>
    <w:p>
      <w:r>
        <w:rPr>
          <w:color w:val="000000"/>
          <w:lang w:val="es-AR" w:eastAsia="es-AR" w:bidi="es-AR"/>
        </w:rPr>
        <w:t>Chubut presenta el crecimiento acumulado más alto (+15,99 %), seguido por Santa Cruz (+9,24 %) y Neuquén (+6,51 %). En el extremo opuesto, Jujuy cae 3,80 %, San Luis 2,64 % y Mendoza 2,45 %. La distancia entre el mayor crecimiento y la mayor caída es de 19,79 puntos porcentuales, una evidencia clara de heterogeneidad territorial.</w:t>
      </w:r>
    </w:p>
    <w:p>
      <w:bookmarkStart w:id="7" w:name="sec_7_6_Estacionalidad_mensual"/>
      <w:pPr>
        <w:pStyle w:val="Heading1"/>
      </w:pPr>
      <w:r>
        <w:rPr>
          <w:color w:val="000000"/>
          <w:lang w:val="es-AR" w:eastAsia="es-AR" w:bidi="es-AR"/>
        </w:rPr>
        <w:t>6. Estacionalidad mensual</w:t>
      </w:r>
      <w:bookmarkEnd w:id="7"/>
    </w:p>
    <w:p>
      <w:pPr>
        <w:jc w:val="center"/>
      </w:pPr>
      <w:r>
        <w:rPr>
          <w:color w:val="000000"/>
          <w:lang w:val="es-AR" w:eastAsia="es-AR" w:bidi="es-AR"/>
        </w:rPr>
        <w:drawing>
          <wp:inline xmlns:a="http://schemas.openxmlformats.org/drawingml/2006/main" xmlns:pic="http://schemas.openxmlformats.org/drawingml/2006/picture">
            <wp:extent cx="5688000" cy="3375753"/>
            <wp:docPr id="3" name="Picture 3"/>
            <wp:cNvGraphicFramePr>
              <a:graphicFrameLocks noChangeAspect="1"/>
            </wp:cNvGraphicFramePr>
            <a:graphic>
              <a:graphicData uri="http://schemas.openxmlformats.org/drawingml/2006/picture">
                <pic:pic>
                  <pic:nvPicPr>
                    <pic:cNvPr id="0" name="03_estacionalidad_mensual.png"/>
                    <pic:cNvPicPr/>
                  </pic:nvPicPr>
                  <pic:blipFill>
                    <a:blip r:embed="rId13"/>
                    <a:stretch>
                      <a:fillRect/>
                    </a:stretch>
                  </pic:blipFill>
                  <pic:spPr>
                    <a:xfrm>
                      <a:off x="0" y="0"/>
                      <a:ext cx="5688000" cy="3375753"/>
                    </a:xfrm>
                    <a:prstGeom prst="rect"/>
                  </pic:spPr>
                </pic:pic>
              </a:graphicData>
            </a:graphic>
          </wp:inline>
        </w:drawing>
      </w:r>
    </w:p>
    <w:p>
      <w:pPr>
        <w:jc w:val="center"/>
      </w:pPr>
      <w:r>
        <w:rPr>
          <w:i/>
          <w:color w:val="000000"/>
          <w:sz w:val="18"/>
          <w:lang w:val="es-AR" w:eastAsia="es-AR" w:bidi="es-AR"/>
        </w:rPr>
        <w:t>Figura 3. Promedio diario mensual de la demanda nacional para 2023, 2024 y 2025.</w:t>
      </w:r>
    </w:p>
    <w:p>
      <w:r>
        <w:rPr>
          <w:color w:val="000000"/>
          <w:lang w:val="es-AR" w:eastAsia="es-AR" w:bidi="es-AR"/>
        </w:rPr>
        <w:t>Para comparar meses se utiliza promedio diario mensual y no únicamente consumo acumulado. Esto evita interpretar febrero como un mes de menor demanda solo porque contiene menos días. La serie muestra una estacionalidad marcada, aunque con diferencias entre años: los meses de verano tienden a registrar niveles elevados y aparecen repuntes invernales, mientras abril y parte de la primavera se ubican entre los niveles más bajos.</w:t>
      </w:r>
    </w:p>
    <w:tbl>
      <w:tblPr>
        <w:tblW w:type="auto" w:w="0"/>
        <w:jc w:val="center"/>
        <w:tblLook w:firstColumn="1" w:firstRow="1" w:lastColumn="0" w:lastRow="0" w:noHBand="0" w:noVBand="1" w:val="04A0"/>
      </w:tblPr>
      <w:tblGrid>
        <w:gridCol w:w="9638"/>
      </w:tblGrid>
      <w:tr>
        <w:trPr>
          <w:cantSplit w:val="1"/>
        </w:trPr>
        <w:tc>
          <w:tcPr>
            <w:tcW w:type="dxa" w:w="9638"/>
            <w:shd w:fill="EAF4F5"/>
            <w:tcMar>
              <w:top w:w="160" w:type="dxa"/>
              <w:start w:w="180" w:type="dxa"/>
              <w:bottom w:w="160" w:type="dxa"/>
              <w:end w:w="180" w:type="dxa"/>
            </w:tcMar>
          </w:tcPr>
          <w:p>
            <w:r>
              <w:rPr>
                <w:b/>
                <w:color w:val="000000"/>
                <w:sz w:val="22"/>
                <w:lang w:val="es-AR" w:eastAsia="es-AR" w:bidi="es-AR"/>
              </w:rPr>
              <w:t>Por qué se usa promedio diario</w:t>
              <w:br/>
            </w:r>
            <w:r>
              <w:rPr>
                <w:sz w:val="20"/>
                <w:color w:val="000000"/>
                <w:lang w:val="es-AR" w:eastAsia="es-AR" w:bidi="es-AR"/>
              </w:rPr>
              <w:t>Los meses tienen 28, 29, 30 o 31 días. Dividir el acumulado mensual por la cantidad de días observados permite comparar intensidad de consumo sin introducir el efecto mecánico de la duración del mes.</w:t>
            </w:r>
          </w:p>
        </w:tc>
      </w:tr>
    </w:tbl>
    <w:p/>
    <w:p>
      <w:bookmarkStart w:id="8" w:name="sec_8_7_Tipo_de_d_a_y_comportamiento"/>
      <w:pPr>
        <w:pStyle w:val="Heading1"/>
      </w:pPr>
      <w:r>
        <w:rPr>
          <w:color w:val="000000"/>
          <w:lang w:val="es-AR" w:eastAsia="es-AR" w:bidi="es-AR"/>
        </w:rPr>
        <w:t>7. Tipo de día y comportamiento horario</w:t>
      </w:r>
      <w:bookmarkEnd w:id="8"/>
    </w:p>
    <w:p>
      <w:pPr>
        <w:pStyle w:val="Heading2"/>
      </w:pPr>
      <w:r>
        <w:rPr>
          <w:color w:val="000000"/>
          <w:lang w:val="es-AR" w:eastAsia="es-AR" w:bidi="es-AR"/>
        </w:rPr>
        <w:t>7.1 Días hábiles vs. no hábiles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1"/>
        </w:trPr>
        <w:tc>
          <w:tcPr>
            <w:tcW w:type="dxa" w:w="1417"/>
            <w:shd w:fill="0B4F59"/>
            <w:vAlign w:val="center"/>
          </w:tcPr>
          <w:p>
            <w:r>
              <w:rPr>
                <w:b/>
                <w:color w:val="000000"/>
                <w:sz w:val="17"/>
                <w:lang w:val="es-AR" w:eastAsia="es-AR" w:bidi="es-AR"/>
              </w:rPr>
              <w:t>Año</w:t>
            </w:r>
          </w:p>
        </w:tc>
        <w:tc>
          <w:tcPr>
            <w:tcW w:type="dxa" w:w="2268"/>
            <w:shd w:fill="0B4F59"/>
            <w:vAlign w:val="center"/>
          </w:tcPr>
          <w:p>
            <w:r>
              <w:rPr>
                <w:b/>
                <w:color w:val="000000"/>
                <w:sz w:val="17"/>
                <w:lang w:val="es-AR" w:eastAsia="es-AR" w:bidi="es-AR"/>
              </w:rPr>
              <w:t>Reducción no hábil</w:t>
            </w:r>
          </w:p>
        </w:tc>
        <w:tc>
          <w:tcPr>
            <w:tcW w:type="dxa" w:w="2721"/>
            <w:shd w:fill="0B4F59"/>
            <w:vAlign w:val="center"/>
          </w:tcPr>
          <w:p>
            <w:r>
              <w:rPr>
                <w:b/>
                <w:color w:val="000000"/>
                <w:sz w:val="17"/>
                <w:lang w:val="es-AR" w:eastAsia="es-AR" w:bidi="es-AR"/>
              </w:rPr>
              <w:t>Media hábil (MWh/día)</w:t>
            </w:r>
          </w:p>
        </w:tc>
        <w:tc>
          <w:tcPr>
            <w:tcW w:type="dxa" w:w="2721"/>
            <w:shd w:fill="0B4F59"/>
            <w:vAlign w:val="center"/>
          </w:tcPr>
          <w:p>
            <w:r>
              <w:rPr>
                <w:b/>
                <w:color w:val="000000"/>
                <w:sz w:val="17"/>
                <w:lang w:val="es-AR" w:eastAsia="es-AR" w:bidi="es-AR"/>
              </w:rPr>
              <w:t>Media no hábil (MWh/día)</w:t>
            </w:r>
          </w:p>
        </w:tc>
      </w:tr>
      <w:tr>
        <w:trPr>
          <w:cantSplit w:val="1"/>
        </w:trPr>
        <w:tc>
          <w:tcPr>
            <w:tcW w:type="dxa" w:w="1417"/>
            <w:vAlign w:val="center"/>
          </w:tcPr>
          <w:p>
            <w:r>
              <w:rPr>
                <w:sz w:val="17"/>
                <w:color w:val="000000"/>
                <w:lang w:val="es-AR" w:eastAsia="es-AR" w:bidi="es-AR"/>
              </w:rPr>
              <w:t>2023</w:t>
            </w:r>
          </w:p>
        </w:tc>
        <w:tc>
          <w:tcPr>
            <w:tcW w:type="dxa" w:w="2268"/>
            <w:vAlign w:val="center"/>
          </w:tcPr>
          <w:p>
            <w:r>
              <w:rPr>
                <w:sz w:val="17"/>
                <w:color w:val="000000"/>
                <w:lang w:val="es-AR" w:eastAsia="es-AR" w:bidi="es-AR"/>
              </w:rPr>
              <w:t>11.72 %</w:t>
            </w:r>
          </w:p>
        </w:tc>
        <w:tc>
          <w:tcPr>
            <w:tcW w:type="dxa" w:w="2721"/>
            <w:vAlign w:val="center"/>
          </w:tcPr>
          <w:p>
            <w:r>
              <w:rPr>
                <w:sz w:val="17"/>
                <w:color w:val="000000"/>
                <w:lang w:val="es-AR" w:eastAsia="es-AR" w:bidi="es-AR"/>
              </w:rPr>
              <w:t>401,317</w:t>
            </w:r>
          </w:p>
        </w:tc>
        <w:tc>
          <w:tcPr>
            <w:tcW w:type="dxa" w:w="2721"/>
            <w:vAlign w:val="center"/>
          </w:tcPr>
          <w:p>
            <w:r>
              <w:rPr>
                <w:sz w:val="17"/>
                <w:color w:val="000000"/>
                <w:lang w:val="es-AR" w:eastAsia="es-AR" w:bidi="es-AR"/>
              </w:rPr>
              <w:t>354,282</w:t>
            </w:r>
          </w:p>
        </w:tc>
      </w:tr>
      <w:tr>
        <w:trPr>
          <w:cantSplit w:val="1"/>
        </w:trPr>
        <w:tc>
          <w:tcPr>
            <w:tcW w:type="dxa" w:w="1417"/>
            <w:shd w:fill="F3F6F7"/>
            <w:vAlign w:val="center"/>
          </w:tcPr>
          <w:p>
            <w:r>
              <w:rPr>
                <w:sz w:val="17"/>
                <w:color w:val="000000"/>
                <w:lang w:val="es-AR" w:eastAsia="es-AR" w:bidi="es-AR"/>
              </w:rPr>
              <w:t>2024</w:t>
            </w:r>
          </w:p>
        </w:tc>
        <w:tc>
          <w:tcPr>
            <w:tcW w:type="dxa" w:w="2268"/>
            <w:shd w:fill="F3F6F7"/>
            <w:vAlign w:val="center"/>
          </w:tcPr>
          <w:p>
            <w:r>
              <w:rPr>
                <w:sz w:val="17"/>
                <w:color w:val="000000"/>
                <w:lang w:val="es-AR" w:eastAsia="es-AR" w:bidi="es-AR"/>
              </w:rPr>
              <w:t>11.54 %</w:t>
            </w:r>
          </w:p>
        </w:tc>
        <w:tc>
          <w:tcPr>
            <w:tcW w:type="dxa" w:w="2721"/>
            <w:shd w:fill="F3F6F7"/>
            <w:vAlign w:val="center"/>
          </w:tcPr>
          <w:p>
            <w:r>
              <w:rPr>
                <w:sz w:val="17"/>
                <w:color w:val="000000"/>
                <w:lang w:val="es-AR" w:eastAsia="es-AR" w:bidi="es-AR"/>
              </w:rPr>
              <w:t>398,054</w:t>
            </w:r>
          </w:p>
        </w:tc>
        <w:tc>
          <w:tcPr>
            <w:tcW w:type="dxa" w:w="2721"/>
            <w:shd w:fill="F3F6F7"/>
            <w:vAlign w:val="center"/>
          </w:tcPr>
          <w:p>
            <w:r>
              <w:rPr>
                <w:sz w:val="17"/>
                <w:color w:val="000000"/>
                <w:lang w:val="es-AR" w:eastAsia="es-AR" w:bidi="es-AR"/>
              </w:rPr>
              <w:t>352,102</w:t>
            </w:r>
          </w:p>
        </w:tc>
      </w:tr>
      <w:tr>
        <w:trPr>
          <w:cantSplit w:val="1"/>
        </w:trPr>
        <w:tc>
          <w:tcPr>
            <w:tcW w:type="dxa" w:w="1417"/>
            <w:vAlign w:val="center"/>
          </w:tcPr>
          <w:p>
            <w:r>
              <w:rPr>
                <w:sz w:val="17"/>
                <w:color w:val="000000"/>
                <w:lang w:val="es-AR" w:eastAsia="es-AR" w:bidi="es-AR"/>
              </w:rPr>
              <w:t>2025</w:t>
            </w:r>
          </w:p>
        </w:tc>
        <w:tc>
          <w:tcPr>
            <w:tcW w:type="dxa" w:w="2268"/>
            <w:vAlign w:val="center"/>
          </w:tcPr>
          <w:p>
            <w:r>
              <w:rPr>
                <w:sz w:val="17"/>
                <w:color w:val="000000"/>
                <w:lang w:val="es-AR" w:eastAsia="es-AR" w:bidi="es-AR"/>
              </w:rPr>
              <w:t>11.47 %</w:t>
            </w:r>
          </w:p>
        </w:tc>
        <w:tc>
          <w:tcPr>
            <w:tcW w:type="dxa" w:w="2721"/>
            <w:vAlign w:val="center"/>
          </w:tcPr>
          <w:p>
            <w:r>
              <w:rPr>
                <w:sz w:val="17"/>
                <w:color w:val="000000"/>
                <w:lang w:val="es-AR" w:eastAsia="es-AR" w:bidi="es-AR"/>
              </w:rPr>
              <w:t>402,288</w:t>
            </w:r>
          </w:p>
        </w:tc>
        <w:tc>
          <w:tcPr>
            <w:tcW w:type="dxa" w:w="2721"/>
            <w:vAlign w:val="center"/>
          </w:tcPr>
          <w:p>
            <w:r>
              <w:rPr>
                <w:sz w:val="17"/>
                <w:color w:val="000000"/>
                <w:lang w:val="es-AR" w:eastAsia="es-AR" w:bidi="es-AR"/>
              </w:rPr>
              <w:t>356,138</w:t>
            </w:r>
          </w:p>
        </w:tc>
      </w:tr>
      <w:tr>
        <w:trPr>
          <w:cantSplit w:val="1"/>
        </w:trPr>
        <w:tc>
          <w:tcPr>
            <w:tcW w:type="dxa" w:w="1417"/>
            <w:shd w:fill="F3F6F7"/>
            <w:vAlign w:val="center"/>
          </w:tcPr>
          <w:p>
            <w:r>
              <w:rPr>
                <w:sz w:val="17"/>
                <w:color w:val="000000"/>
                <w:lang w:val="es-AR" w:eastAsia="es-AR" w:bidi="es-AR"/>
              </w:rPr>
              <w:t>2026</w:t>
            </w:r>
          </w:p>
        </w:tc>
        <w:tc>
          <w:tcPr>
            <w:tcW w:type="dxa" w:w="2268"/>
            <w:shd w:fill="F3F6F7"/>
            <w:vAlign w:val="center"/>
          </w:tcPr>
          <w:p>
            <w:r>
              <w:rPr>
                <w:sz w:val="17"/>
                <w:color w:val="000000"/>
                <w:lang w:val="es-AR" w:eastAsia="es-AR" w:bidi="es-AR"/>
              </w:rPr>
              <w:t>11.17 %</w:t>
            </w:r>
          </w:p>
        </w:tc>
        <w:tc>
          <w:tcPr>
            <w:tcW w:type="dxa" w:w="2721"/>
            <w:shd w:fill="F3F6F7"/>
            <w:vAlign w:val="center"/>
          </w:tcPr>
          <w:p>
            <w:r>
              <w:rPr>
                <w:sz w:val="17"/>
                <w:color w:val="000000"/>
                <w:lang w:val="es-AR" w:eastAsia="es-AR" w:bidi="es-AR"/>
              </w:rPr>
              <w:t>414,629</w:t>
            </w:r>
          </w:p>
        </w:tc>
        <w:tc>
          <w:tcPr>
            <w:tcW w:type="dxa" w:w="2721"/>
            <w:shd w:fill="F3F6F7"/>
            <w:vAlign w:val="center"/>
          </w:tcPr>
          <w:p>
            <w:r>
              <w:rPr>
                <w:sz w:val="17"/>
                <w:color w:val="000000"/>
                <w:lang w:val="es-AR" w:eastAsia="es-AR" w:bidi="es-AR"/>
              </w:rPr>
              <w:t>368,322</w:t>
            </w:r>
          </w:p>
        </w:tc>
      </w:tr>
    </w:tbl>
    <w:p>
      <w:r>
        <w:rPr>
          <w:color w:val="000000"/>
          <w:lang w:val="es-AR" w:eastAsia="es-AR" w:bidi="es-AR"/>
        </w:rPr>
        <w:t>La reducción de demanda en días no hábiles es notablemente estable: 11,72 % en 2023, 11,54 % en 2024 y 11,47 % en 2025. El promedio 2023–2025 es 11,58 %. El primer semestre de 2026 mantiene el patrón con 11,17 %. Esta consistencia convierte al tipo de día en una variable explicativa relevante.</w:t>
      </w:r>
    </w:p>
    <w:p>
      <w:pPr>
        <w:pStyle w:val="Heading2"/>
      </w:pPr>
      <w:r>
        <w:rPr>
          <w:color w:val="000000"/>
          <w:lang w:val="es-AR" w:eastAsia="es-AR" w:bidi="es-AR"/>
        </w:rPr>
        <w:t>7.2 Perfil horario</w:t>
      </w:r>
    </w:p>
    <w:p>
      <w:pPr>
        <w:jc w:val="center"/>
      </w:pPr>
      <w:r>
        <w:rPr>
          <w:color w:val="000000"/>
          <w:lang w:val="es-AR" w:eastAsia="es-AR" w:bidi="es-AR"/>
        </w:rPr>
        <w:drawing>
          <wp:inline xmlns:a="http://schemas.openxmlformats.org/drawingml/2006/main" xmlns:pic="http://schemas.openxmlformats.org/drawingml/2006/picture">
            <wp:extent cx="5760000" cy="3369057"/>
            <wp:docPr id="4" name="Picture 4"/>
            <wp:cNvGraphicFramePr>
              <a:graphicFrameLocks noChangeAspect="1"/>
            </wp:cNvGraphicFramePr>
            <a:graphic>
              <a:graphicData uri="http://schemas.openxmlformats.org/drawingml/2006/picture">
                <pic:pic>
                  <pic:nvPicPr>
                    <pic:cNvPr id="0" name="04_perfil_horario_habil_no_habil.png"/>
                    <pic:cNvPicPr/>
                  </pic:nvPicPr>
                  <pic:blipFill>
                    <a:blip r:embed="rId14"/>
                    <a:stretch>
                      <a:fillRect/>
                    </a:stretch>
                  </pic:blipFill>
                  <pic:spPr>
                    <a:xfrm>
                      <a:off x="0" y="0"/>
                      <a:ext cx="5760000" cy="3369057"/>
                    </a:xfrm>
                    <a:prstGeom prst="rect"/>
                  </pic:spPr>
                </pic:pic>
              </a:graphicData>
            </a:graphic>
          </wp:inline>
        </w:drawing>
      </w:r>
    </w:p>
    <w:p>
      <w:pPr>
        <w:jc w:val="center"/>
      </w:pPr>
      <w:r>
        <w:rPr>
          <w:i/>
          <w:color w:val="000000"/>
          <w:sz w:val="18"/>
          <w:lang w:val="es-AR" w:eastAsia="es-AR" w:bidi="es-AR"/>
        </w:rPr>
        <w:t>Figura 4. Perfil horario medio: promedio total, días hábiles y no hábiles.</w:t>
      </w:r>
    </w:p>
    <w:p>
      <w:r>
        <w:rPr>
          <w:color w:val="000000"/>
          <w:lang w:val="es-AR" w:eastAsia="es-AR" w:bidi="es-AR"/>
        </w:rPr>
        <w:t>La curva promedio alcanza su mínimo alrededor de las 05:00 (13.461 MWh) y su máximo alrededor de las 22:00 (18.557 MWh). La diferencia entre ambos niveles es 37,85 %. Los días hábiles se mantienen por encima de los no hábiles prácticamente durante toda la jornada, con una separación más visible en las horas de actividad.</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1"/>
        </w:trPr>
        <w:tc>
          <w:tcPr>
            <w:tcW w:type="dxa" w:w="2835"/>
            <w:shd w:fill="0B4F59"/>
            <w:vAlign w:val="center"/>
          </w:tcPr>
          <w:p>
            <w:r>
              <w:rPr>
                <w:b/>
                <w:color w:val="000000"/>
                <w:sz w:val="18"/>
                <w:lang w:val="es-AR" w:eastAsia="es-AR" w:bidi="es-AR"/>
              </w:rPr>
              <w:t>Indicador</w:t>
            </w:r>
          </w:p>
        </w:tc>
        <w:tc>
          <w:tcPr>
            <w:tcW w:type="dxa" w:w="2835"/>
            <w:shd w:fill="0B4F59"/>
            <w:vAlign w:val="center"/>
          </w:tcPr>
          <w:p>
            <w:r>
              <w:rPr>
                <w:b/>
                <w:color w:val="000000"/>
                <w:sz w:val="18"/>
                <w:lang w:val="es-AR" w:eastAsia="es-AR" w:bidi="es-AR"/>
              </w:rPr>
              <w:t>Momento</w:t>
            </w:r>
          </w:p>
        </w:tc>
        <w:tc>
          <w:tcPr>
            <w:tcW w:type="dxa" w:w="3118"/>
            <w:shd w:fill="0B4F59"/>
            <w:vAlign w:val="center"/>
          </w:tcPr>
          <w:p>
            <w:r>
              <w:rPr>
                <w:b/>
                <w:color w:val="000000"/>
                <w:sz w:val="18"/>
                <w:lang w:val="es-AR" w:eastAsia="es-AR" w:bidi="es-AR"/>
              </w:rPr>
              <w:t>Valor</w:t>
            </w:r>
          </w:p>
        </w:tc>
      </w:tr>
      <w:tr>
        <w:trPr>
          <w:cantSplit w:val="1"/>
        </w:trPr>
        <w:tc>
          <w:tcPr>
            <w:tcW w:type="dxa" w:w="2835"/>
            <w:vAlign w:val="center"/>
          </w:tcPr>
          <w:p>
            <w:r>
              <w:rPr>
                <w:sz w:val="18"/>
                <w:color w:val="000000"/>
                <w:lang w:val="es-AR" w:eastAsia="es-AR" w:bidi="es-AR"/>
              </w:rPr>
              <w:t>Hora valle promedio</w:t>
            </w:r>
          </w:p>
        </w:tc>
        <w:tc>
          <w:tcPr>
            <w:tcW w:type="dxa" w:w="2835"/>
            <w:vAlign w:val="center"/>
          </w:tcPr>
          <w:p>
            <w:r>
              <w:rPr>
                <w:sz w:val="18"/>
                <w:color w:val="000000"/>
                <w:lang w:val="es-AR" w:eastAsia="es-AR" w:bidi="es-AR"/>
              </w:rPr>
              <w:t>05:00</w:t>
            </w:r>
          </w:p>
        </w:tc>
        <w:tc>
          <w:tcPr>
            <w:tcW w:type="dxa" w:w="3118"/>
            <w:vAlign w:val="center"/>
          </w:tcPr>
          <w:p>
            <w:r>
              <w:rPr>
                <w:sz w:val="18"/>
                <w:color w:val="000000"/>
                <w:lang w:val="es-AR" w:eastAsia="es-AR" w:bidi="es-AR"/>
              </w:rPr>
              <w:t>13.461 MWh</w:t>
            </w:r>
          </w:p>
        </w:tc>
      </w:tr>
      <w:tr>
        <w:trPr>
          <w:cantSplit w:val="1"/>
        </w:trPr>
        <w:tc>
          <w:tcPr>
            <w:tcW w:type="dxa" w:w="2835"/>
            <w:shd w:fill="F3F6F7"/>
            <w:vAlign w:val="center"/>
          </w:tcPr>
          <w:p>
            <w:r>
              <w:rPr>
                <w:sz w:val="18"/>
                <w:color w:val="000000"/>
                <w:lang w:val="es-AR" w:eastAsia="es-AR" w:bidi="es-AR"/>
              </w:rPr>
              <w:t>Hora pico promedio</w:t>
            </w:r>
          </w:p>
        </w:tc>
        <w:tc>
          <w:tcPr>
            <w:tcW w:type="dxa" w:w="2835"/>
            <w:shd w:fill="F3F6F7"/>
            <w:vAlign w:val="center"/>
          </w:tcPr>
          <w:p>
            <w:r>
              <w:rPr>
                <w:sz w:val="18"/>
                <w:color w:val="000000"/>
                <w:lang w:val="es-AR" w:eastAsia="es-AR" w:bidi="es-AR"/>
              </w:rPr>
              <w:t>22:00</w:t>
            </w:r>
          </w:p>
        </w:tc>
        <w:tc>
          <w:tcPr>
            <w:tcW w:type="dxa" w:w="3118"/>
            <w:shd w:fill="F3F6F7"/>
            <w:vAlign w:val="center"/>
          </w:tcPr>
          <w:p>
            <w:r>
              <w:rPr>
                <w:sz w:val="18"/>
                <w:color w:val="000000"/>
                <w:lang w:val="es-AR" w:eastAsia="es-AR" w:bidi="es-AR"/>
              </w:rPr>
              <w:t>18.557 MWh</w:t>
            </w:r>
          </w:p>
        </w:tc>
      </w:tr>
      <w:tr>
        <w:trPr>
          <w:cantSplit w:val="1"/>
        </w:trPr>
        <w:tc>
          <w:tcPr>
            <w:tcW w:type="dxa" w:w="2835"/>
            <w:vAlign w:val="center"/>
          </w:tcPr>
          <w:p>
            <w:r>
              <w:rPr>
                <w:sz w:val="18"/>
                <w:color w:val="000000"/>
                <w:lang w:val="es-AR" w:eastAsia="es-AR" w:bidi="es-AR"/>
              </w:rPr>
              <w:t>Amplitud pico–valle</w:t>
            </w:r>
          </w:p>
        </w:tc>
        <w:tc>
          <w:tcPr>
            <w:tcW w:type="dxa" w:w="2835"/>
            <w:vAlign w:val="center"/>
          </w:tcPr>
          <w:p>
            <w:r>
              <w:rPr>
                <w:sz w:val="18"/>
                <w:color w:val="000000"/>
                <w:lang w:val="es-AR" w:eastAsia="es-AR" w:bidi="es-AR"/>
              </w:rPr>
              <w:t>37,85 %</w:t>
            </w:r>
          </w:p>
        </w:tc>
        <w:tc>
          <w:tcPr>
            <w:tcW w:type="dxa" w:w="3118"/>
            <w:vAlign w:val="center"/>
          </w:tcPr>
          <w:p>
            <w:r>
              <w:rPr>
                <w:sz w:val="18"/>
                <w:color w:val="000000"/>
                <w:lang w:val="es-AR" w:eastAsia="es-AR" w:bidi="es-AR"/>
              </w:rPr>
              <w:t>Sobre el valle promedio</w:t>
            </w:r>
          </w:p>
        </w:tc>
      </w:tr>
      <w:tr>
        <w:trPr>
          <w:cantSplit w:val="1"/>
        </w:trPr>
        <w:tc>
          <w:tcPr>
            <w:tcW w:type="dxa" w:w="2835"/>
            <w:shd w:fill="F3F6F7"/>
            <w:vAlign w:val="center"/>
          </w:tcPr>
          <w:p>
            <w:r>
              <w:rPr>
                <w:sz w:val="18"/>
                <w:color w:val="000000"/>
                <w:lang w:val="es-AR" w:eastAsia="es-AR" w:bidi="es-AR"/>
              </w:rPr>
              <w:t>Pico absoluto</w:t>
            </w:r>
          </w:p>
        </w:tc>
        <w:tc>
          <w:tcPr>
            <w:tcW w:type="dxa" w:w="2835"/>
            <w:shd w:fill="F3F6F7"/>
            <w:vAlign w:val="center"/>
          </w:tcPr>
          <w:p>
            <w:r>
              <w:rPr>
                <w:sz w:val="18"/>
                <w:color w:val="000000"/>
                <w:lang w:val="es-AR" w:eastAsia="es-AR" w:bidi="es-AR"/>
              </w:rPr>
              <w:t>10/02/2025 · 16:00</w:t>
            </w:r>
          </w:p>
        </w:tc>
        <w:tc>
          <w:tcPr>
            <w:tcW w:type="dxa" w:w="3118"/>
            <w:shd w:fill="F3F6F7"/>
            <w:vAlign w:val="center"/>
          </w:tcPr>
          <w:p>
            <w:r>
              <w:rPr>
                <w:sz w:val="18"/>
                <w:color w:val="000000"/>
                <w:lang w:val="es-AR" w:eastAsia="es-AR" w:bidi="es-AR"/>
              </w:rPr>
              <w:t>28.094 MWh</w:t>
            </w:r>
          </w:p>
        </w:tc>
      </w:tr>
      <w:tr>
        <w:trPr>
          <w:cantSplit w:val="1"/>
        </w:trPr>
        <w:tc>
          <w:tcPr>
            <w:tcW w:type="dxa" w:w="2835"/>
            <w:vAlign w:val="center"/>
          </w:tcPr>
          <w:p>
            <w:r>
              <w:rPr>
                <w:sz w:val="18"/>
                <w:color w:val="000000"/>
                <w:lang w:val="es-AR" w:eastAsia="es-AR" w:bidi="es-AR"/>
              </w:rPr>
              <w:t>Valle absoluto</w:t>
            </w:r>
          </w:p>
        </w:tc>
        <w:tc>
          <w:tcPr>
            <w:tcW w:type="dxa" w:w="2835"/>
            <w:vAlign w:val="center"/>
          </w:tcPr>
          <w:p>
            <w:r>
              <w:rPr>
                <w:sz w:val="18"/>
                <w:color w:val="000000"/>
                <w:lang w:val="es-AR" w:eastAsia="es-AR" w:bidi="es-AR"/>
              </w:rPr>
              <w:t>25/12/2024 · 08:00</w:t>
            </w:r>
          </w:p>
        </w:tc>
        <w:tc>
          <w:tcPr>
            <w:tcW w:type="dxa" w:w="3118"/>
            <w:vAlign w:val="center"/>
          </w:tcPr>
          <w:p>
            <w:r>
              <w:rPr>
                <w:sz w:val="18"/>
                <w:color w:val="000000"/>
                <w:lang w:val="es-AR" w:eastAsia="es-AR" w:bidi="es-AR"/>
              </w:rPr>
              <w:t>9.377 MWh</w:t>
            </w:r>
          </w:p>
        </w:tc>
      </w:tr>
    </w:tbl>
    <w:p>
      <w:bookmarkStart w:id="9" w:name="sec_9_8_An_lisis_avanzado_patrones_p"/>
      <w:pPr>
        <w:pStyle w:val="Heading1"/>
      </w:pPr>
      <w:r>
        <w:rPr>
          <w:color w:val="000000"/>
          <w:lang w:val="es-AR" w:eastAsia="es-AR" w:bidi="es-AR"/>
        </w:rPr>
        <w:t>8. Análisis avanzado: patrones provinciales</w:t>
      </w:r>
      <w:bookmarkEnd w:id="9"/>
    </w:p>
    <w:p>
      <w:r>
        <w:rPr>
          <w:color w:val="000000"/>
          <w:lang w:val="es-AR" w:eastAsia="es-AR" w:bidi="es-AR"/>
        </w:rPr>
        <w:t>El clustering no se utiliza para “crear regiones” geográficas, sino para detectar provincias con formas estacionales similares respecto de su propio nivel medio. Para ello, cada provincia se normaliza por su media anual y se aplica clustering jerárquico de Ward. El número de grupos no se fija arbitrariamente: se compara entre 2 y 6 mediante calidad interna (Silhouette) y estabilidad entre años (Adjusted Rand Index, ARI).</w:t>
      </w:r>
    </w:p>
    <w:p>
      <w:pPr>
        <w:jc w:val="center"/>
      </w:pPr>
      <w:r>
        <w:rPr>
          <w:color w:val="000000"/>
          <w:lang w:val="es-AR" w:eastAsia="es-AR" w:bidi="es-AR"/>
        </w:rPr>
        <w:drawing>
          <wp:inline xmlns:a="http://schemas.openxmlformats.org/drawingml/2006/main" xmlns:pic="http://schemas.openxmlformats.org/drawingml/2006/picture">
            <wp:extent cx="5688000" cy="3377649"/>
            <wp:docPr id="5" name="Picture 5"/>
            <wp:cNvGraphicFramePr>
              <a:graphicFrameLocks noChangeAspect="1"/>
            </wp:cNvGraphicFramePr>
            <a:graphic>
              <a:graphicData uri="http://schemas.openxmlformats.org/drawingml/2006/picture">
                <pic:pic>
                  <pic:nvPicPr>
                    <pic:cNvPr id="0" name="01_perfiles_estacionales_clusters.png"/>
                    <pic:cNvPicPr/>
                  </pic:nvPicPr>
                  <pic:blipFill>
                    <a:blip r:embed="rId15"/>
                    <a:stretch>
                      <a:fillRect/>
                    </a:stretch>
                  </pic:blipFill>
                  <pic:spPr>
                    <a:xfrm>
                      <a:off x="0" y="0"/>
                      <a:ext cx="5688000" cy="3377649"/>
                    </a:xfrm>
                    <a:prstGeom prst="rect"/>
                  </pic:spPr>
                </pic:pic>
              </a:graphicData>
            </a:graphic>
          </wp:inline>
        </w:drawing>
      </w:r>
    </w:p>
    <w:p>
      <w:pPr>
        <w:jc w:val="center"/>
      </w:pPr>
      <w:r>
        <w:rPr>
          <w:i/>
          <w:color w:val="000000"/>
          <w:sz w:val="18"/>
          <w:lang w:val="es-AR" w:eastAsia="es-AR" w:bidi="es-AR"/>
        </w:rPr>
        <w:t>Figura 5. Perfiles estacionales promedio de la solución final de 3 clusters.</w:t>
      </w:r>
    </w:p>
    <w:p>
      <w:pPr>
        <w:pStyle w:val="Heading2"/>
      </w:pPr>
      <w:r>
        <w:rPr>
          <w:color w:val="000000"/>
          <w:lang w:val="es-AR" w:eastAsia="es-AR" w:bidi="es-AR"/>
        </w:rPr>
        <w:t>8.1 Por qué se eligieron 3 clusters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1"/>
        </w:trPr>
        <w:tc>
          <w:tcPr>
            <w:tcW w:type="dxa" w:w="1417"/>
            <w:shd w:fill="0B4F59"/>
            <w:vAlign w:val="center"/>
          </w:tcPr>
          <w:p>
            <w:r>
              <w:rPr>
                <w:b/>
                <w:color w:val="000000"/>
                <w:sz w:val="18"/>
                <w:lang w:val="es-AR" w:eastAsia="es-AR" w:bidi="es-AR"/>
              </w:rPr>
              <w:t>K</w:t>
            </w:r>
          </w:p>
        </w:tc>
        <w:tc>
          <w:tcPr>
            <w:tcW w:type="dxa" w:w="2268"/>
            <w:shd w:fill="0B4F59"/>
            <w:vAlign w:val="center"/>
          </w:tcPr>
          <w:p>
            <w:r>
              <w:rPr>
                <w:b/>
                <w:color w:val="000000"/>
                <w:sz w:val="18"/>
                <w:lang w:val="es-AR" w:eastAsia="es-AR" w:bidi="es-AR"/>
              </w:rPr>
              <w:t>Silhouette</w:t>
            </w:r>
          </w:p>
        </w:tc>
        <w:tc>
          <w:tcPr>
            <w:tcW w:type="dxa" w:w="2268"/>
            <w:shd w:fill="0B4F59"/>
            <w:vAlign w:val="center"/>
          </w:tcPr>
          <w:p>
            <w:r>
              <w:rPr>
                <w:b/>
                <w:color w:val="000000"/>
                <w:sz w:val="18"/>
                <w:lang w:val="es-AR" w:eastAsia="es-AR" w:bidi="es-AR"/>
              </w:rPr>
              <w:t>ARI estabilidad</w:t>
            </w:r>
          </w:p>
        </w:tc>
        <w:tc>
          <w:tcPr>
            <w:tcW w:type="dxa" w:w="2268"/>
            <w:shd w:fill="0B4F59"/>
            <w:vAlign w:val="center"/>
          </w:tcPr>
          <w:p>
            <w:r>
              <w:rPr>
                <w:b/>
                <w:color w:val="000000"/>
                <w:sz w:val="18"/>
                <w:lang w:val="es-AR" w:eastAsia="es-AR" w:bidi="es-AR"/>
              </w:rPr>
              <w:t>Puntaje compuesto</w:t>
            </w:r>
          </w:p>
        </w:tc>
      </w:tr>
      <w:tr>
        <w:trPr>
          <w:cantSplit w:val="1"/>
        </w:trPr>
        <w:tc>
          <w:tcPr>
            <w:tcW w:type="dxa" w:w="1417"/>
            <w:vAlign w:val="center"/>
          </w:tcPr>
          <w:p>
            <w:r>
              <w:rPr>
                <w:sz w:val="18"/>
                <w:color w:val="000000"/>
                <w:lang w:val="es-AR" w:eastAsia="es-AR" w:bidi="es-AR"/>
              </w:rPr>
              <w:t>2</w:t>
            </w:r>
          </w:p>
        </w:tc>
        <w:tc>
          <w:tcPr>
            <w:tcW w:type="dxa" w:w="2268"/>
            <w:vAlign w:val="center"/>
          </w:tcPr>
          <w:p>
            <w:r>
              <w:rPr>
                <w:sz w:val="18"/>
                <w:color w:val="000000"/>
                <w:lang w:val="es-AR" w:eastAsia="es-AR" w:bidi="es-AR"/>
              </w:rPr>
              <w:t>0.425</w:t>
            </w:r>
          </w:p>
        </w:tc>
        <w:tc>
          <w:tcPr>
            <w:tcW w:type="dxa" w:w="2268"/>
            <w:vAlign w:val="center"/>
          </w:tcPr>
          <w:p>
            <w:r>
              <w:rPr>
                <w:sz w:val="18"/>
                <w:color w:val="000000"/>
                <w:lang w:val="es-AR" w:eastAsia="es-AR" w:bidi="es-AR"/>
              </w:rPr>
              <w:t>0.299</w:t>
            </w:r>
          </w:p>
        </w:tc>
        <w:tc>
          <w:tcPr>
            <w:tcW w:type="dxa" w:w="2268"/>
            <w:vAlign w:val="center"/>
          </w:tcPr>
          <w:p>
            <w:r>
              <w:rPr>
                <w:sz w:val="18"/>
                <w:color w:val="000000"/>
                <w:lang w:val="es-AR" w:eastAsia="es-AR" w:bidi="es-AR"/>
              </w:rPr>
              <w:t>0.362</w:t>
            </w:r>
          </w:p>
        </w:tc>
      </w:tr>
      <w:tr>
        <w:trPr>
          <w:cantSplit w:val="1"/>
        </w:trPr>
        <w:tc>
          <w:tcPr>
            <w:tcW w:type="dxa" w:w="1417"/>
            <w:shd w:fill="F3F6F7"/>
            <w:vAlign w:val="center"/>
          </w:tcPr>
          <w:p>
            <w:r>
              <w:rPr>
                <w:sz w:val="18"/>
                <w:color w:val="000000"/>
                <w:lang w:val="es-AR" w:eastAsia="es-AR" w:bidi="es-AR"/>
              </w:rPr>
              <w:t>3</w:t>
            </w:r>
          </w:p>
        </w:tc>
        <w:tc>
          <w:tcPr>
            <w:tcW w:type="dxa" w:w="2268"/>
            <w:shd w:fill="F3F6F7"/>
            <w:vAlign w:val="center"/>
          </w:tcPr>
          <w:p>
            <w:r>
              <w:rPr>
                <w:sz w:val="18"/>
                <w:color w:val="000000"/>
                <w:lang w:val="es-AR" w:eastAsia="es-AR" w:bidi="es-AR"/>
              </w:rPr>
              <w:t>0.383</w:t>
            </w:r>
          </w:p>
        </w:tc>
        <w:tc>
          <w:tcPr>
            <w:tcW w:type="dxa" w:w="2268"/>
            <w:shd w:fill="F3F6F7"/>
            <w:vAlign w:val="center"/>
          </w:tcPr>
          <w:p>
            <w:r>
              <w:rPr>
                <w:sz w:val="18"/>
                <w:color w:val="000000"/>
                <w:lang w:val="es-AR" w:eastAsia="es-AR" w:bidi="es-AR"/>
              </w:rPr>
              <w:t>0.541</w:t>
            </w:r>
          </w:p>
        </w:tc>
        <w:tc>
          <w:tcPr>
            <w:tcW w:type="dxa" w:w="2268"/>
            <w:shd w:fill="F3F6F7"/>
            <w:vAlign w:val="center"/>
          </w:tcPr>
          <w:p>
            <w:r>
              <w:rPr>
                <w:sz w:val="18"/>
                <w:color w:val="000000"/>
                <w:lang w:val="es-AR" w:eastAsia="es-AR" w:bidi="es-AR"/>
              </w:rPr>
              <w:t>0.462</w:t>
            </w:r>
          </w:p>
        </w:tc>
      </w:tr>
      <w:tr>
        <w:trPr>
          <w:cantSplit w:val="1"/>
        </w:trPr>
        <w:tc>
          <w:tcPr>
            <w:tcW w:type="dxa" w:w="1417"/>
            <w:vAlign w:val="center"/>
          </w:tcPr>
          <w:p>
            <w:r>
              <w:rPr>
                <w:sz w:val="18"/>
                <w:color w:val="000000"/>
                <w:lang w:val="es-AR" w:eastAsia="es-AR" w:bidi="es-AR"/>
              </w:rPr>
              <w:t>4</w:t>
            </w:r>
          </w:p>
        </w:tc>
        <w:tc>
          <w:tcPr>
            <w:tcW w:type="dxa" w:w="2268"/>
            <w:vAlign w:val="center"/>
          </w:tcPr>
          <w:p>
            <w:r>
              <w:rPr>
                <w:sz w:val="18"/>
                <w:color w:val="000000"/>
                <w:lang w:val="es-AR" w:eastAsia="es-AR" w:bidi="es-AR"/>
              </w:rPr>
              <w:t>0.319</w:t>
            </w:r>
          </w:p>
        </w:tc>
        <w:tc>
          <w:tcPr>
            <w:tcW w:type="dxa" w:w="2268"/>
            <w:vAlign w:val="center"/>
          </w:tcPr>
          <w:p>
            <w:r>
              <w:rPr>
                <w:sz w:val="18"/>
                <w:color w:val="000000"/>
                <w:lang w:val="es-AR" w:eastAsia="es-AR" w:bidi="es-AR"/>
              </w:rPr>
              <w:t>0.409</w:t>
            </w:r>
          </w:p>
        </w:tc>
        <w:tc>
          <w:tcPr>
            <w:tcW w:type="dxa" w:w="2268"/>
            <w:vAlign w:val="center"/>
          </w:tcPr>
          <w:p>
            <w:r>
              <w:rPr>
                <w:sz w:val="18"/>
                <w:color w:val="000000"/>
                <w:lang w:val="es-AR" w:eastAsia="es-AR" w:bidi="es-AR"/>
              </w:rPr>
              <w:t>0.364</w:t>
            </w:r>
          </w:p>
        </w:tc>
      </w:tr>
      <w:tr>
        <w:trPr>
          <w:cantSplit w:val="1"/>
        </w:trPr>
        <w:tc>
          <w:tcPr>
            <w:tcW w:type="dxa" w:w="1417"/>
            <w:shd w:fill="F3F6F7"/>
            <w:vAlign w:val="center"/>
          </w:tcPr>
          <w:p>
            <w:r>
              <w:rPr>
                <w:sz w:val="18"/>
                <w:color w:val="000000"/>
                <w:lang w:val="es-AR" w:eastAsia="es-AR" w:bidi="es-AR"/>
              </w:rPr>
              <w:t>5</w:t>
            </w:r>
          </w:p>
        </w:tc>
        <w:tc>
          <w:tcPr>
            <w:tcW w:type="dxa" w:w="2268"/>
            <w:shd w:fill="F3F6F7"/>
            <w:vAlign w:val="center"/>
          </w:tcPr>
          <w:p>
            <w:r>
              <w:rPr>
                <w:sz w:val="18"/>
                <w:color w:val="000000"/>
                <w:lang w:val="es-AR" w:eastAsia="es-AR" w:bidi="es-AR"/>
              </w:rPr>
              <w:t>0.316</w:t>
            </w:r>
          </w:p>
        </w:tc>
        <w:tc>
          <w:tcPr>
            <w:tcW w:type="dxa" w:w="2268"/>
            <w:shd w:fill="F3F6F7"/>
            <w:vAlign w:val="center"/>
          </w:tcPr>
          <w:p>
            <w:r>
              <w:rPr>
                <w:sz w:val="18"/>
                <w:color w:val="000000"/>
                <w:lang w:val="es-AR" w:eastAsia="es-AR" w:bidi="es-AR"/>
              </w:rPr>
              <w:t>0.465</w:t>
            </w:r>
          </w:p>
        </w:tc>
        <w:tc>
          <w:tcPr>
            <w:tcW w:type="dxa" w:w="2268"/>
            <w:shd w:fill="F3F6F7"/>
            <w:vAlign w:val="center"/>
          </w:tcPr>
          <w:p>
            <w:r>
              <w:rPr>
                <w:sz w:val="18"/>
                <w:color w:val="000000"/>
                <w:lang w:val="es-AR" w:eastAsia="es-AR" w:bidi="es-AR"/>
              </w:rPr>
              <w:t>0.390</w:t>
            </w:r>
          </w:p>
        </w:tc>
      </w:tr>
      <w:tr>
        <w:trPr>
          <w:cantSplit w:val="1"/>
        </w:trPr>
        <w:tc>
          <w:tcPr>
            <w:tcW w:type="dxa" w:w="1417"/>
            <w:vAlign w:val="center"/>
          </w:tcPr>
          <w:p>
            <w:r>
              <w:rPr>
                <w:sz w:val="18"/>
                <w:color w:val="000000"/>
                <w:lang w:val="es-AR" w:eastAsia="es-AR" w:bidi="es-AR"/>
              </w:rPr>
              <w:t>6</w:t>
            </w:r>
          </w:p>
        </w:tc>
        <w:tc>
          <w:tcPr>
            <w:tcW w:type="dxa" w:w="2268"/>
            <w:vAlign w:val="center"/>
          </w:tcPr>
          <w:p>
            <w:r>
              <w:rPr>
                <w:sz w:val="18"/>
                <w:color w:val="000000"/>
                <w:lang w:val="es-AR" w:eastAsia="es-AR" w:bidi="es-AR"/>
              </w:rPr>
              <w:t>0.281</w:t>
            </w:r>
          </w:p>
        </w:tc>
        <w:tc>
          <w:tcPr>
            <w:tcW w:type="dxa" w:w="2268"/>
            <w:vAlign w:val="center"/>
          </w:tcPr>
          <w:p>
            <w:r>
              <w:rPr>
                <w:sz w:val="18"/>
                <w:color w:val="000000"/>
                <w:lang w:val="es-AR" w:eastAsia="es-AR" w:bidi="es-AR"/>
              </w:rPr>
              <w:t>0.457</w:t>
            </w:r>
          </w:p>
        </w:tc>
        <w:tc>
          <w:tcPr>
            <w:tcW w:type="dxa" w:w="2268"/>
            <w:vAlign w:val="center"/>
          </w:tcPr>
          <w:p>
            <w:r>
              <w:rPr>
                <w:sz w:val="18"/>
                <w:color w:val="000000"/>
                <w:lang w:val="es-AR" w:eastAsia="es-AR" w:bidi="es-AR"/>
              </w:rPr>
              <w:t>0.369</w:t>
            </w:r>
          </w:p>
        </w:tc>
      </w:tr>
    </w:tbl>
    <w:p>
      <w:r>
        <w:rPr>
          <w:color w:val="000000"/>
          <w:lang w:val="es-AR" w:eastAsia="es-AR" w:bidi="es-AR"/>
        </w:rPr>
        <w:t>Dos clusters logran la mayor separación interna, pero tres clusters presentan una estabilidad mucho mayor entre años. Al combinar ambos criterios, K=3 obtiene el puntaje compuesto más alto (0,462), por lo que se adopta como solución de compromiso más defendible.</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1"/>
        </w:trPr>
        <w:tc>
          <w:tcPr>
            <w:tcW w:type="dxa" w:w="2891"/>
            <w:shd w:fill="0B4F59"/>
            <w:vAlign w:val="center"/>
          </w:tcPr>
          <w:p>
            <w:r>
              <w:rPr>
                <w:b/>
                <w:color w:val="000000"/>
                <w:sz w:val="16"/>
                <w:lang w:val="es-AR" w:eastAsia="es-AR" w:bidi="es-AR"/>
              </w:rPr>
              <w:t>Patrón 1</w:t>
            </w:r>
          </w:p>
        </w:tc>
        <w:tc>
          <w:tcPr>
            <w:tcW w:type="dxa" w:w="2891"/>
            <w:shd w:fill="0B4F59"/>
            <w:vAlign w:val="center"/>
          </w:tcPr>
          <w:p>
            <w:r>
              <w:rPr>
                <w:b/>
                <w:color w:val="000000"/>
                <w:sz w:val="16"/>
                <w:lang w:val="es-AR" w:eastAsia="es-AR" w:bidi="es-AR"/>
              </w:rPr>
              <w:t>Patrón 2</w:t>
            </w:r>
          </w:p>
        </w:tc>
        <w:tc>
          <w:tcPr>
            <w:tcW w:type="dxa" w:w="2891"/>
            <w:shd w:fill="0B4F59"/>
            <w:vAlign w:val="center"/>
          </w:tcPr>
          <w:p>
            <w:r>
              <w:rPr>
                <w:b/>
                <w:color w:val="000000"/>
                <w:sz w:val="16"/>
                <w:lang w:val="es-AR" w:eastAsia="es-AR" w:bidi="es-AR"/>
              </w:rPr>
              <w:t>Patrón 3</w:t>
            </w:r>
          </w:p>
        </w:tc>
      </w:tr>
      <w:tr>
        <w:trPr>
          <w:cantSplit w:val="1"/>
        </w:trPr>
        <w:tc>
          <w:tcPr>
            <w:tcW w:type="dxa" w:w="2891"/>
            <w:vAlign w:val="center"/>
          </w:tcPr>
          <w:p>
            <w:r>
              <w:rPr>
                <w:sz w:val="16"/>
                <w:color w:val="000000"/>
                <w:lang w:val="es-AR" w:eastAsia="es-AR" w:bidi="es-AR"/>
              </w:rPr>
              <w:t>Chaco</w:t>
            </w:r>
          </w:p>
        </w:tc>
        <w:tc>
          <w:tcPr>
            <w:tcW w:type="dxa" w:w="2891"/>
            <w:vAlign w:val="center"/>
          </w:tcPr>
          <w:p>
            <w:r>
              <w:rPr>
                <w:sz w:val="16"/>
                <w:color w:val="000000"/>
                <w:lang w:val="es-AR" w:eastAsia="es-AR" w:bidi="es-AR"/>
              </w:rPr>
              <w:t>Catamarca</w:t>
            </w:r>
          </w:p>
        </w:tc>
        <w:tc>
          <w:tcPr>
            <w:tcW w:type="dxa" w:w="2891"/>
            <w:vAlign w:val="center"/>
          </w:tcPr>
          <w:p>
            <w:r>
              <w:rPr>
                <w:sz w:val="16"/>
                <w:color w:val="000000"/>
                <w:lang w:val="es-AR" w:eastAsia="es-AR" w:bidi="es-AR"/>
              </w:rPr>
              <w:t>Buenos Aires</w:t>
            </w:r>
          </w:p>
        </w:tc>
      </w:tr>
      <w:tr>
        <w:trPr>
          <w:cantSplit w:val="1"/>
        </w:trPr>
        <w:tc>
          <w:tcPr>
            <w:tcW w:type="dxa" w:w="2891"/>
            <w:shd w:fill="F3F6F7"/>
            <w:vAlign w:val="center"/>
          </w:tcPr>
          <w:p>
            <w:r>
              <w:rPr>
                <w:sz w:val="16"/>
                <w:color w:val="000000"/>
                <w:lang w:val="es-AR" w:eastAsia="es-AR" w:bidi="es-AR"/>
              </w:rPr>
              <w:t>Corrientes</w:t>
            </w:r>
          </w:p>
        </w:tc>
        <w:tc>
          <w:tcPr>
            <w:tcW w:type="dxa" w:w="2891"/>
            <w:shd w:fill="F3F6F7"/>
            <w:vAlign w:val="center"/>
          </w:tcPr>
          <w:p>
            <w:r>
              <w:rPr>
                <w:sz w:val="16"/>
                <w:color w:val="000000"/>
                <w:lang w:val="es-AR" w:eastAsia="es-AR" w:bidi="es-AR"/>
              </w:rPr>
              <w:t>Entre Rios</w:t>
            </w:r>
          </w:p>
        </w:tc>
        <w:tc>
          <w:tcPr>
            <w:tcW w:type="dxa" w:w="2891"/>
            <w:shd w:fill="F3F6F7"/>
            <w:vAlign w:val="center"/>
          </w:tcPr>
          <w:p>
            <w:r>
              <w:rPr>
                <w:sz w:val="16"/>
                <w:color w:val="000000"/>
                <w:lang w:val="es-AR" w:eastAsia="es-AR" w:bidi="es-AR"/>
              </w:rPr>
              <w:t>Chubut</w:t>
            </w:r>
          </w:p>
        </w:tc>
      </w:tr>
      <w:tr>
        <w:trPr>
          <w:cantSplit w:val="1"/>
        </w:trPr>
        <w:tc>
          <w:tcPr>
            <w:tcW w:type="dxa" w:w="2891"/>
            <w:vAlign w:val="center"/>
          </w:tcPr>
          <w:p>
            <w:r>
              <w:rPr>
                <w:sz w:val="16"/>
                <w:color w:val="000000"/>
                <w:lang w:val="es-AR" w:eastAsia="es-AR" w:bidi="es-AR"/>
              </w:rPr>
              <w:t>Formosa</w:t>
            </w:r>
          </w:p>
        </w:tc>
        <w:tc>
          <w:tcPr>
            <w:tcW w:type="dxa" w:w="2891"/>
            <w:vAlign w:val="center"/>
          </w:tcPr>
          <w:p>
            <w:r>
              <w:rPr>
                <w:sz w:val="16"/>
                <w:color w:val="000000"/>
                <w:lang w:val="es-AR" w:eastAsia="es-AR" w:bidi="es-AR"/>
              </w:rPr>
              <w:t>Jujuy</w:t>
            </w:r>
          </w:p>
        </w:tc>
        <w:tc>
          <w:tcPr>
            <w:tcW w:type="dxa" w:w="2891"/>
            <w:vAlign w:val="center"/>
          </w:tcPr>
          <w:p>
            <w:r>
              <w:rPr>
                <w:sz w:val="16"/>
                <w:color w:val="000000"/>
                <w:lang w:val="es-AR" w:eastAsia="es-AR" w:bidi="es-AR"/>
              </w:rPr>
              <w:t>Cordoba</w:t>
            </w:r>
          </w:p>
        </w:tc>
      </w:tr>
      <w:tr>
        <w:trPr>
          <w:cantSplit w:val="1"/>
        </w:trPr>
        <w:tc>
          <w:tcPr>
            <w:tcW w:type="dxa" w:w="2891"/>
            <w:shd w:fill="F3F6F7"/>
            <w:vAlign w:val="center"/>
          </w:tcPr>
          <w:p>
            <w:r>
              <w:rPr>
                <w:sz w:val="16"/>
                <w:color w:val="000000"/>
                <w:lang w:val="es-AR" w:eastAsia="es-AR" w:bidi="es-AR"/>
              </w:rPr>
              <w:t>Sgo Del Estero</w:t>
            </w:r>
          </w:p>
        </w:tc>
        <w:tc>
          <w:tcPr>
            <w:tcW w:type="dxa" w:w="2891"/>
            <w:shd w:fill="F3F6F7"/>
            <w:vAlign w:val="center"/>
          </w:tcPr>
          <w:p>
            <w:r>
              <w:rPr>
                <w:sz w:val="16"/>
                <w:color w:val="000000"/>
                <w:lang w:val="es-AR" w:eastAsia="es-AR" w:bidi="es-AR"/>
              </w:rPr>
              <w:t>La Pampa</w:t>
            </w:r>
          </w:p>
        </w:tc>
        <w:tc>
          <w:tcPr>
            <w:tcW w:type="dxa" w:w="2891"/>
            <w:shd w:fill="F3F6F7"/>
            <w:vAlign w:val="center"/>
          </w:tcPr>
          <w:p>
            <w:r>
              <w:rPr>
                <w:sz w:val="16"/>
                <w:color w:val="000000"/>
                <w:lang w:val="es-AR" w:eastAsia="es-AR" w:bidi="es-AR"/>
              </w:rPr>
              <w:t>Neuquen</w:t>
            </w:r>
          </w:p>
        </w:tc>
      </w:tr>
      <w:tr>
        <w:trPr>
          <w:cantSplit w:val="1"/>
        </w:trPr>
        <w:tc>
          <w:tcPr>
            <w:tcW w:type="dxa" w:w="2891"/>
            <w:vAlign w:val="center"/>
          </w:tcPr>
          <w:p>
            <w:r>
              <w:rPr>
                <w:sz w:val="16"/>
                <w:color w:val="000000"/>
                <w:lang w:val="es-AR" w:eastAsia="es-AR" w:bidi="es-AR"/>
              </w:rPr>
            </w:r>
          </w:p>
        </w:tc>
        <w:tc>
          <w:tcPr>
            <w:tcW w:type="dxa" w:w="2891"/>
            <w:vAlign w:val="center"/>
          </w:tcPr>
          <w:p>
            <w:r>
              <w:rPr>
                <w:sz w:val="16"/>
                <w:color w:val="000000"/>
                <w:lang w:val="es-AR" w:eastAsia="es-AR" w:bidi="es-AR"/>
              </w:rPr>
              <w:t>La Rioja</w:t>
            </w:r>
          </w:p>
        </w:tc>
        <w:tc>
          <w:tcPr>
            <w:tcW w:type="dxa" w:w="2891"/>
            <w:vAlign w:val="center"/>
          </w:tcPr>
          <w:p>
            <w:r>
              <w:rPr>
                <w:sz w:val="16"/>
                <w:color w:val="000000"/>
                <w:lang w:val="es-AR" w:eastAsia="es-AR" w:bidi="es-AR"/>
              </w:rPr>
              <w:t>Rio Negro</w:t>
            </w:r>
          </w:p>
        </w:tc>
      </w:tr>
      <w:tr>
        <w:trPr>
          <w:cantSplit w:val="1"/>
        </w:trPr>
        <w:tc>
          <w:tcPr>
            <w:tcW w:type="dxa" w:w="2891"/>
            <w:shd w:fill="F3F6F7"/>
            <w:vAlign w:val="center"/>
          </w:tcPr>
          <w:p>
            <w:r>
              <w:rPr>
                <w:sz w:val="16"/>
                <w:color w:val="000000"/>
                <w:lang w:val="es-AR" w:eastAsia="es-AR" w:bidi="es-AR"/>
              </w:rPr>
            </w:r>
          </w:p>
        </w:tc>
        <w:tc>
          <w:tcPr>
            <w:tcW w:type="dxa" w:w="2891"/>
            <w:shd w:fill="F3F6F7"/>
            <w:vAlign w:val="center"/>
          </w:tcPr>
          <w:p>
            <w:r>
              <w:rPr>
                <w:sz w:val="16"/>
                <w:color w:val="000000"/>
                <w:lang w:val="es-AR" w:eastAsia="es-AR" w:bidi="es-AR"/>
              </w:rPr>
              <w:t>Mendoza</w:t>
            </w:r>
          </w:p>
        </w:tc>
        <w:tc>
          <w:tcPr>
            <w:tcW w:type="dxa" w:w="2891"/>
            <w:shd w:fill="F3F6F7"/>
            <w:vAlign w:val="center"/>
          </w:tcPr>
          <w:p>
            <w:r>
              <w:rPr>
                <w:sz w:val="16"/>
                <w:color w:val="000000"/>
                <w:lang w:val="es-AR" w:eastAsia="es-AR" w:bidi="es-AR"/>
              </w:rPr>
              <w:t>Santa Cruz</w:t>
            </w:r>
          </w:p>
        </w:tc>
      </w:tr>
      <w:tr>
        <w:trPr>
          <w:cantSplit w:val="1"/>
        </w:trPr>
        <w:tc>
          <w:tcPr>
            <w:tcW w:type="dxa" w:w="2891"/>
            <w:vAlign w:val="center"/>
          </w:tcPr>
          <w:p>
            <w:r>
              <w:rPr>
                <w:sz w:val="16"/>
                <w:color w:val="000000"/>
                <w:lang w:val="es-AR" w:eastAsia="es-AR" w:bidi="es-AR"/>
              </w:rPr>
            </w:r>
          </w:p>
        </w:tc>
        <w:tc>
          <w:tcPr>
            <w:tcW w:type="dxa" w:w="2891"/>
            <w:vAlign w:val="center"/>
          </w:tcPr>
          <w:p>
            <w:r>
              <w:rPr>
                <w:sz w:val="16"/>
                <w:color w:val="000000"/>
                <w:lang w:val="es-AR" w:eastAsia="es-AR" w:bidi="es-AR"/>
              </w:rPr>
              <w:t>Misiones</w:t>
            </w:r>
          </w:p>
        </w:tc>
        <w:tc>
          <w:tcPr>
            <w:tcW w:type="dxa" w:w="2891"/>
            <w:vAlign w:val="center"/>
          </w:tcPr>
          <w:p>
            <w:r>
              <w:rPr>
                <w:sz w:val="16"/>
                <w:color w:val="000000"/>
                <w:lang w:val="es-AR" w:eastAsia="es-AR" w:bidi="es-AR"/>
              </w:rPr>
              <w:t>San Luis</w:t>
            </w:r>
          </w:p>
        </w:tc>
      </w:tr>
      <w:tr>
        <w:trPr>
          <w:cantSplit w:val="1"/>
        </w:trPr>
        <w:tc>
          <w:tcPr>
            <w:tcW w:type="dxa" w:w="2891"/>
            <w:shd w:fill="F3F6F7"/>
            <w:vAlign w:val="center"/>
          </w:tcPr>
          <w:p>
            <w:r>
              <w:rPr>
                <w:sz w:val="16"/>
                <w:color w:val="000000"/>
                <w:lang w:val="es-AR" w:eastAsia="es-AR" w:bidi="es-AR"/>
              </w:rPr>
            </w:r>
          </w:p>
        </w:tc>
        <w:tc>
          <w:tcPr>
            <w:tcW w:type="dxa" w:w="2891"/>
            <w:shd w:fill="F3F6F7"/>
            <w:vAlign w:val="center"/>
          </w:tcPr>
          <w:p>
            <w:r>
              <w:rPr>
                <w:sz w:val="16"/>
                <w:color w:val="000000"/>
                <w:lang w:val="es-AR" w:eastAsia="es-AR" w:bidi="es-AR"/>
              </w:rPr>
              <w:t>Salta</w:t>
            </w:r>
          </w:p>
        </w:tc>
        <w:tc>
          <w:tcPr>
            <w:tcW w:type="dxa" w:w="2891"/>
            <w:shd w:fill="F3F6F7"/>
            <w:vAlign w:val="center"/>
          </w:tcPr>
          <w:p>
            <w:r>
              <w:rPr>
                <w:sz w:val="16"/>
                <w:color w:val="000000"/>
                <w:lang w:val="es-AR" w:eastAsia="es-AR" w:bidi="es-AR"/>
              </w:rPr>
            </w:r>
          </w:p>
        </w:tc>
      </w:tr>
      <w:tr>
        <w:trPr>
          <w:cantSplit w:val="1"/>
        </w:trPr>
        <w:tc>
          <w:tcPr>
            <w:tcW w:type="dxa" w:w="2891"/>
            <w:vAlign w:val="center"/>
          </w:tcPr>
          <w:p>
            <w:r>
              <w:rPr>
                <w:sz w:val="16"/>
                <w:color w:val="000000"/>
                <w:lang w:val="es-AR" w:eastAsia="es-AR" w:bidi="es-AR"/>
              </w:rPr>
            </w:r>
          </w:p>
        </w:tc>
        <w:tc>
          <w:tcPr>
            <w:tcW w:type="dxa" w:w="2891"/>
            <w:vAlign w:val="center"/>
          </w:tcPr>
          <w:p>
            <w:r>
              <w:rPr>
                <w:sz w:val="16"/>
                <w:color w:val="000000"/>
                <w:lang w:val="es-AR" w:eastAsia="es-AR" w:bidi="es-AR"/>
              </w:rPr>
              <w:t>Santa Fe</w:t>
            </w:r>
          </w:p>
        </w:tc>
        <w:tc>
          <w:tcPr>
            <w:tcW w:type="dxa" w:w="2891"/>
            <w:vAlign w:val="center"/>
          </w:tcPr>
          <w:p>
            <w:r>
              <w:rPr>
                <w:sz w:val="16"/>
                <w:color w:val="000000"/>
                <w:lang w:val="es-AR" w:eastAsia="es-AR" w:bidi="es-AR"/>
              </w:rPr>
            </w:r>
          </w:p>
        </w:tc>
      </w:tr>
      <w:tr>
        <w:trPr>
          <w:cantSplit w:val="1"/>
        </w:trPr>
        <w:tc>
          <w:tcPr>
            <w:tcW w:type="dxa" w:w="2891"/>
            <w:shd w:fill="F3F6F7"/>
            <w:vAlign w:val="center"/>
          </w:tcPr>
          <w:p>
            <w:r>
              <w:rPr>
                <w:sz w:val="16"/>
                <w:color w:val="000000"/>
                <w:lang w:val="es-AR" w:eastAsia="es-AR" w:bidi="es-AR"/>
              </w:rPr>
            </w:r>
          </w:p>
        </w:tc>
        <w:tc>
          <w:tcPr>
            <w:tcW w:type="dxa" w:w="2891"/>
            <w:shd w:fill="F3F6F7"/>
            <w:vAlign w:val="center"/>
          </w:tcPr>
          <w:p>
            <w:r>
              <w:rPr>
                <w:sz w:val="16"/>
                <w:color w:val="000000"/>
                <w:lang w:val="es-AR" w:eastAsia="es-AR" w:bidi="es-AR"/>
              </w:rPr>
              <w:t>San Juan</w:t>
            </w:r>
          </w:p>
        </w:tc>
        <w:tc>
          <w:tcPr>
            <w:tcW w:type="dxa" w:w="2891"/>
            <w:shd w:fill="F3F6F7"/>
            <w:vAlign w:val="center"/>
          </w:tcPr>
          <w:p>
            <w:r>
              <w:rPr>
                <w:sz w:val="16"/>
                <w:color w:val="000000"/>
                <w:lang w:val="es-AR" w:eastAsia="es-AR" w:bidi="es-AR"/>
              </w:rPr>
            </w:r>
          </w:p>
        </w:tc>
      </w:tr>
      <w:tr>
        <w:trPr>
          <w:cantSplit w:val="1"/>
        </w:trPr>
        <w:tc>
          <w:tcPr>
            <w:tcW w:type="dxa" w:w="2891"/>
            <w:vAlign w:val="center"/>
          </w:tcPr>
          <w:p>
            <w:r>
              <w:rPr>
                <w:sz w:val="16"/>
                <w:color w:val="000000"/>
                <w:lang w:val="es-AR" w:eastAsia="es-AR" w:bidi="es-AR"/>
              </w:rPr>
            </w:r>
          </w:p>
        </w:tc>
        <w:tc>
          <w:tcPr>
            <w:tcW w:type="dxa" w:w="2891"/>
            <w:vAlign w:val="center"/>
          </w:tcPr>
          <w:p>
            <w:r>
              <w:rPr>
                <w:sz w:val="16"/>
                <w:color w:val="000000"/>
                <w:lang w:val="es-AR" w:eastAsia="es-AR" w:bidi="es-AR"/>
              </w:rPr>
              <w:t>Tucuman</w:t>
            </w:r>
          </w:p>
        </w:tc>
        <w:tc>
          <w:tcPr>
            <w:tcW w:type="dxa" w:w="2891"/>
            <w:vAlign w:val="center"/>
          </w:tcPr>
          <w:p>
            <w:r>
              <w:rPr>
                <w:sz w:val="16"/>
                <w:color w:val="000000"/>
                <w:lang w:val="es-AR" w:eastAsia="es-AR" w:bidi="es-AR"/>
              </w:rPr>
            </w:r>
          </w:p>
        </w:tc>
      </w:tr>
    </w:tbl>
    <w:p>
      <w:r>
        <w:rPr>
          <w:color w:val="000000"/>
          <w:lang w:val="es-AR" w:eastAsia="es-AR" w:bidi="es-AR"/>
        </w:rPr>
        <w:t>Los nombres “Patrón 1, 2 y 3” se mantienen deliberadamente neutrales. Asignar nombres geográficos a clusters estadísticos puede inducir interpretaciones erróneas si la composición cambia entre años. Primero se describe la forma de consumo; luego, si fuera necesario, se interpreta territorialmente.</w:t>
      </w:r>
    </w:p>
    <w:p>
      <w:pPr>
        <w:pStyle w:val="ListBullet"/>
        <w:spacing w:after="40"/>
      </w:pPr>
      <w:r>
        <w:rPr>
          <w:color w:val="000000"/>
          <w:lang w:val="es-AR" w:eastAsia="es-AR" w:bidi="es-AR"/>
        </w:rPr>
        <w:t>Patrón 1: estacionalidad muy marcada en verano, con picos relativos altos en enero–febrero y mínimos durante el invierno.</w:t>
      </w:r>
    </w:p>
    <w:p>
      <w:pPr>
        <w:pStyle w:val="ListBullet"/>
        <w:spacing w:after="40"/>
      </w:pPr>
      <w:r>
        <w:rPr>
          <w:color w:val="000000"/>
          <w:lang w:val="es-AR" w:eastAsia="es-AR" w:bidi="es-AR"/>
        </w:rPr>
        <w:t>Patrón 2: patrón intermedio; verano alto, descenso otoñal-invernal y recuperación hacia noviembre–diciembre.</w:t>
      </w:r>
    </w:p>
    <w:p>
      <w:pPr>
        <w:pStyle w:val="ListBullet"/>
        <w:spacing w:after="40"/>
      </w:pPr>
      <w:r>
        <w:rPr>
          <w:color w:val="000000"/>
          <w:lang w:val="es-AR" w:eastAsia="es-AR" w:bidi="es-AR"/>
        </w:rPr>
        <w:t>Patrón 3: comportamiento más balanceado, con menor pico estival y una recuperación relativa en meses de invierno.</w:t>
      </w:r>
    </w:p>
    <w:p>
      <w:bookmarkStart w:id="10" w:name="sec_10_9_Pron_stico_y_validaci_n"/>
      <w:pPr>
        <w:pStyle w:val="Heading1"/>
      </w:pPr>
      <w:r>
        <w:rPr>
          <w:color w:val="000000"/>
          <w:lang w:val="es-AR" w:eastAsia="es-AR" w:bidi="es-AR"/>
        </w:rPr>
        <w:t>9. Pronóstico y validación</w:t>
      </w:r>
      <w:bookmarkEnd w:id="10"/>
    </w:p>
    <w:p>
      <w:r>
        <w:rPr>
          <w:color w:val="000000"/>
          <w:lang w:val="es-AR" w:eastAsia="es-AR" w:bidi="es-AR"/>
        </w:rPr>
        <w:t>La predicción se evalúa como un problema fuera de muestra: el modelo aprende con datos pasados y se compara contra períodos que no utilizó para entrenarse. Este diseño evita evaluar al modelo con los mismos datos que ya conoce.</w:t>
      </w:r>
    </w:p>
    <w:p>
      <w:pPr>
        <w:pStyle w:val="Heading2"/>
      </w:pPr>
      <w:r>
        <w:rPr>
          <w:color w:val="000000"/>
          <w:lang w:val="es-AR" w:eastAsia="es-AR" w:bidi="es-AR"/>
        </w:rPr>
        <w:t>9.1 Modelos comparados</w:t>
      </w:r>
    </w:p>
    <w:tbl>
      <w:tblPr>
        <w:tblStyle w:val="TableGrid"/>
        <w:tblW w:type="auto" w:w="0"/>
        <w:jc w:val="center"/>
        <w:tblLook w:firstColumn="1" w:firstRow="1" w:lastColumn="0" w:lastRow="0" w:noHBand="0" w:noVBand="1" w:val="04A0"/>
      </w:tblPr>
      <w:tblGrid>
        <w:gridCol w:w="4819"/>
        <w:gridCol w:w="4819"/>
      </w:tblGrid>
      <w:tr>
        <w:trPr>
          <w:tblHeader w:val="true"/>
          <w:cantSplit w:val="1"/>
        </w:trPr>
        <w:tc>
          <w:tcPr>
            <w:tcW w:type="dxa" w:w="2268"/>
            <w:shd w:fill="0B4F59"/>
            <w:vAlign w:val="center"/>
          </w:tcPr>
          <w:p>
            <w:r>
              <w:rPr>
                <w:b/>
                <w:color w:val="000000"/>
                <w:sz w:val="17"/>
                <w:lang w:val="es-AR" w:eastAsia="es-AR" w:bidi="es-AR"/>
              </w:rPr>
              <w:t>Modelo</w:t>
            </w:r>
          </w:p>
        </w:tc>
        <w:tc>
          <w:tcPr>
            <w:tcW w:type="dxa" w:w="6463"/>
            <w:shd w:fill="0B4F59"/>
            <w:vAlign w:val="center"/>
          </w:tcPr>
          <w:p>
            <w:r>
              <w:rPr>
                <w:b/>
                <w:color w:val="000000"/>
                <w:sz w:val="17"/>
                <w:lang w:val="es-AR" w:eastAsia="es-AR" w:bidi="es-AR"/>
              </w:rPr>
              <w:t>Idea principal</w:t>
            </w:r>
          </w:p>
        </w:tc>
      </w:tr>
      <w:tr>
        <w:trPr>
          <w:cantSplit w:val="1"/>
        </w:trPr>
        <w:tc>
          <w:tcPr>
            <w:tcW w:type="dxa" w:w="2268"/>
            <w:vAlign w:val="center"/>
          </w:tcPr>
          <w:p>
            <w:r>
              <w:rPr>
                <w:sz w:val="17"/>
                <w:color w:val="000000"/>
                <w:lang w:val="es-AR" w:eastAsia="es-AR" w:bidi="es-AR"/>
              </w:rPr>
              <w:t>Seasonal Naive</w:t>
            </w:r>
          </w:p>
        </w:tc>
        <w:tc>
          <w:tcPr>
            <w:tcW w:type="dxa" w:w="6463"/>
            <w:vAlign w:val="center"/>
          </w:tcPr>
          <w:p>
            <w:r>
              <w:rPr>
                <w:sz w:val="17"/>
                <w:color w:val="000000"/>
                <w:lang w:val="es-AR" w:eastAsia="es-AR" w:bidi="es-AR"/>
              </w:rPr>
              <w:t>Baseline: cada mes se aproxima usando el mismo mes del año anterior. Es simple y sirve como referencia mínima.</w:t>
            </w:r>
          </w:p>
        </w:tc>
      </w:tr>
      <w:tr>
        <w:trPr>
          <w:cantSplit w:val="1"/>
        </w:trPr>
        <w:tc>
          <w:tcPr>
            <w:tcW w:type="dxa" w:w="2268"/>
            <w:shd w:fill="F3F6F7"/>
            <w:vAlign w:val="center"/>
          </w:tcPr>
          <w:p>
            <w:r>
              <w:rPr>
                <w:sz w:val="17"/>
                <w:color w:val="000000"/>
                <w:lang w:val="es-AR" w:eastAsia="es-AR" w:bidi="es-AR"/>
              </w:rPr>
              <w:t>ETS</w:t>
            </w:r>
          </w:p>
        </w:tc>
        <w:tc>
          <w:tcPr>
            <w:tcW w:type="dxa" w:w="6463"/>
            <w:shd w:fill="F3F6F7"/>
            <w:vAlign w:val="center"/>
          </w:tcPr>
          <w:p>
            <w:r>
              <w:rPr>
                <w:sz w:val="17"/>
                <w:color w:val="000000"/>
                <w:lang w:val="es-AR" w:eastAsia="es-AR" w:bidi="es-AR"/>
              </w:rPr>
              <w:t>Suavizamiento exponencial con tendencia/estacionalidad; especialmente útil para series con patrones temporales regulares.</w:t>
            </w:r>
          </w:p>
        </w:tc>
      </w:tr>
      <w:tr>
        <w:trPr>
          <w:cantSplit w:val="1"/>
        </w:trPr>
        <w:tc>
          <w:tcPr>
            <w:tcW w:type="dxa" w:w="2268"/>
            <w:vAlign w:val="center"/>
          </w:tcPr>
          <w:p>
            <w:r>
              <w:rPr>
                <w:sz w:val="17"/>
                <w:color w:val="000000"/>
                <w:lang w:val="es-AR" w:eastAsia="es-AR" w:bidi="es-AR"/>
              </w:rPr>
              <w:t>SARIMA</w:t>
            </w:r>
          </w:p>
        </w:tc>
        <w:tc>
          <w:tcPr>
            <w:tcW w:type="dxa" w:w="6463"/>
            <w:vAlign w:val="center"/>
          </w:tcPr>
          <w:p>
            <w:r>
              <w:rPr>
                <w:sz w:val="17"/>
                <w:color w:val="000000"/>
                <w:lang w:val="es-AR" w:eastAsia="es-AR" w:bidi="es-AR"/>
              </w:rPr>
              <w:t>Modelo estadístico autorregresivo con componente estacional de 12 meses.</w:t>
            </w:r>
          </w:p>
        </w:tc>
      </w:tr>
      <w:tr>
        <w:trPr>
          <w:cantSplit w:val="1"/>
        </w:trPr>
        <w:tc>
          <w:tcPr>
            <w:tcW w:type="dxa" w:w="2268"/>
            <w:shd w:fill="F3F6F7"/>
            <w:vAlign w:val="center"/>
          </w:tcPr>
          <w:p>
            <w:r>
              <w:rPr>
                <w:sz w:val="17"/>
                <w:color w:val="000000"/>
                <w:lang w:val="es-AR" w:eastAsia="es-AR" w:bidi="es-AR"/>
              </w:rPr>
              <w:t>XGBoost</w:t>
            </w:r>
          </w:p>
        </w:tc>
        <w:tc>
          <w:tcPr>
            <w:tcW w:type="dxa" w:w="6463"/>
            <w:shd w:fill="F3F6F7"/>
            <w:vAlign w:val="center"/>
          </w:tcPr>
          <w:p>
            <w:r>
              <w:rPr>
                <w:sz w:val="17"/>
                <w:color w:val="000000"/>
                <w:lang w:val="es-AR" w:eastAsia="es-AR" w:bidi="es-AR"/>
              </w:rPr>
              <w:t>Modelo de árboles con mes, seno/coseno estacional, tendencia, lags 1/2/12 y media móvil de 3 meses.</w:t>
            </w:r>
          </w:p>
        </w:tc>
      </w:tr>
    </w:tbl>
    <w:p>
      <w:pPr>
        <w:pStyle w:val="Heading2"/>
      </w:pPr>
      <w:r>
        <w:rPr>
          <w:color w:val="000000"/>
          <w:lang w:val="es-AR" w:eastAsia="es-AR" w:bidi="es-AR"/>
        </w:rPr>
        <w:t>9.2 Métricas de error</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1"/>
        </w:trPr>
        <w:tc>
          <w:tcPr>
            <w:tcW w:type="dxa" w:w="1417"/>
            <w:shd w:fill="0B4F59"/>
            <w:vAlign w:val="center"/>
          </w:tcPr>
          <w:p>
            <w:r>
              <w:rPr>
                <w:b/>
                <w:color w:val="000000"/>
                <w:sz w:val="16"/>
                <w:lang w:val="es-AR" w:eastAsia="es-AR" w:bidi="es-AR"/>
              </w:rPr>
              <w:t>Métrica</w:t>
            </w:r>
          </w:p>
        </w:tc>
        <w:tc>
          <w:tcPr>
            <w:tcW w:type="dxa" w:w="2835"/>
            <w:shd w:fill="0B4F59"/>
            <w:vAlign w:val="center"/>
          </w:tcPr>
          <w:p>
            <w:r>
              <w:rPr>
                <w:b/>
                <w:color w:val="000000"/>
                <w:sz w:val="16"/>
                <w:lang w:val="es-AR" w:eastAsia="es-AR" w:bidi="es-AR"/>
              </w:rPr>
              <w:t>Nombre</w:t>
            </w:r>
          </w:p>
        </w:tc>
        <w:tc>
          <w:tcPr>
            <w:tcW w:type="dxa" w:w="4535"/>
            <w:shd w:fill="0B4F59"/>
            <w:vAlign w:val="center"/>
          </w:tcPr>
          <w:p>
            <w:r>
              <w:rPr>
                <w:b/>
                <w:color w:val="000000"/>
                <w:sz w:val="16"/>
                <w:lang w:val="es-AR" w:eastAsia="es-AR" w:bidi="es-AR"/>
              </w:rPr>
              <w:t>Interpretación simple</w:t>
            </w:r>
          </w:p>
        </w:tc>
      </w:tr>
      <w:tr>
        <w:trPr>
          <w:cantSplit w:val="1"/>
        </w:trPr>
        <w:tc>
          <w:tcPr>
            <w:tcW w:type="dxa" w:w="1417"/>
            <w:vAlign w:val="center"/>
          </w:tcPr>
          <w:p>
            <w:r>
              <w:rPr>
                <w:sz w:val="16"/>
                <w:color w:val="000000"/>
                <w:lang w:val="es-AR" w:eastAsia="es-AR" w:bidi="es-AR"/>
              </w:rPr>
              <w:t>MAE</w:t>
            </w:r>
          </w:p>
        </w:tc>
        <w:tc>
          <w:tcPr>
            <w:tcW w:type="dxa" w:w="2835"/>
            <w:vAlign w:val="center"/>
          </w:tcPr>
          <w:p>
            <w:r>
              <w:rPr>
                <w:sz w:val="16"/>
                <w:color w:val="000000"/>
                <w:lang w:val="es-AR" w:eastAsia="es-AR" w:bidi="es-AR"/>
              </w:rPr>
              <w:t>Error absoluto medio</w:t>
            </w:r>
          </w:p>
        </w:tc>
        <w:tc>
          <w:tcPr>
            <w:tcW w:type="dxa" w:w="4535"/>
            <w:vAlign w:val="center"/>
          </w:tcPr>
          <w:p>
            <w:r>
              <w:rPr>
                <w:sz w:val="16"/>
                <w:color w:val="000000"/>
                <w:lang w:val="es-AR" w:eastAsia="es-AR" w:bidi="es-AR"/>
              </w:rPr>
              <w:t>Cuánto se equivoca el modelo en promedio, en las unidades originales.</w:t>
            </w:r>
          </w:p>
        </w:tc>
      </w:tr>
      <w:tr>
        <w:trPr>
          <w:cantSplit w:val="1"/>
        </w:trPr>
        <w:tc>
          <w:tcPr>
            <w:tcW w:type="dxa" w:w="1417"/>
            <w:shd w:fill="F3F6F7"/>
            <w:vAlign w:val="center"/>
          </w:tcPr>
          <w:p>
            <w:r>
              <w:rPr>
                <w:sz w:val="16"/>
                <w:color w:val="000000"/>
                <w:lang w:val="es-AR" w:eastAsia="es-AR" w:bidi="es-AR"/>
              </w:rPr>
              <w:t>RMSE</w:t>
            </w:r>
          </w:p>
        </w:tc>
        <w:tc>
          <w:tcPr>
            <w:tcW w:type="dxa" w:w="2835"/>
            <w:shd w:fill="F3F6F7"/>
            <w:vAlign w:val="center"/>
          </w:tcPr>
          <w:p>
            <w:r>
              <w:rPr>
                <w:sz w:val="16"/>
                <w:color w:val="000000"/>
                <w:lang w:val="es-AR" w:eastAsia="es-AR" w:bidi="es-AR"/>
              </w:rPr>
              <w:t>Raíz del error cuadrático medio</w:t>
            </w:r>
          </w:p>
        </w:tc>
        <w:tc>
          <w:tcPr>
            <w:tcW w:type="dxa" w:w="4535"/>
            <w:shd w:fill="F3F6F7"/>
            <w:vAlign w:val="center"/>
          </w:tcPr>
          <w:p>
            <w:r>
              <w:rPr>
                <w:sz w:val="16"/>
                <w:color w:val="000000"/>
                <w:lang w:val="es-AR" w:eastAsia="es-AR" w:bidi="es-AR"/>
              </w:rPr>
              <w:t>Penaliza con más fuerza los errores grandes.</w:t>
            </w:r>
          </w:p>
        </w:tc>
      </w:tr>
      <w:tr>
        <w:trPr>
          <w:cantSplit w:val="1"/>
        </w:trPr>
        <w:tc>
          <w:tcPr>
            <w:tcW w:type="dxa" w:w="1417"/>
            <w:vAlign w:val="center"/>
          </w:tcPr>
          <w:p>
            <w:r>
              <w:rPr>
                <w:sz w:val="16"/>
                <w:color w:val="000000"/>
                <w:lang w:val="es-AR" w:eastAsia="es-AR" w:bidi="es-AR"/>
              </w:rPr>
              <w:t>MAPE</w:t>
            </w:r>
          </w:p>
        </w:tc>
        <w:tc>
          <w:tcPr>
            <w:tcW w:type="dxa" w:w="2835"/>
            <w:vAlign w:val="center"/>
          </w:tcPr>
          <w:p>
            <w:r>
              <w:rPr>
                <w:sz w:val="16"/>
                <w:color w:val="000000"/>
                <w:lang w:val="es-AR" w:eastAsia="es-AR" w:bidi="es-AR"/>
              </w:rPr>
              <w:t>Error porcentual absoluto medio</w:t>
            </w:r>
          </w:p>
        </w:tc>
        <w:tc>
          <w:tcPr>
            <w:tcW w:type="dxa" w:w="4535"/>
            <w:vAlign w:val="center"/>
          </w:tcPr>
          <w:p>
            <w:r>
              <w:rPr>
                <w:sz w:val="16"/>
                <w:color w:val="000000"/>
                <w:lang w:val="es-AR" w:eastAsia="es-AR" w:bidi="es-AR"/>
              </w:rPr>
              <w:t>Promedio de errores relativos; intuitivo, pero sensible a valores pequeños.</w:t>
            </w:r>
          </w:p>
        </w:tc>
      </w:tr>
      <w:tr>
        <w:trPr>
          <w:cantSplit w:val="1"/>
        </w:trPr>
        <w:tc>
          <w:tcPr>
            <w:tcW w:type="dxa" w:w="1417"/>
            <w:shd w:fill="F3F6F7"/>
            <w:vAlign w:val="center"/>
          </w:tcPr>
          <w:p>
            <w:r>
              <w:rPr>
                <w:sz w:val="16"/>
                <w:color w:val="000000"/>
                <w:lang w:val="es-AR" w:eastAsia="es-AR" w:bidi="es-AR"/>
              </w:rPr>
              <w:t>WAPE</w:t>
            </w:r>
          </w:p>
        </w:tc>
        <w:tc>
          <w:tcPr>
            <w:tcW w:type="dxa" w:w="2835"/>
            <w:shd w:fill="F3F6F7"/>
            <w:vAlign w:val="center"/>
          </w:tcPr>
          <w:p>
            <w:r>
              <w:rPr>
                <w:sz w:val="16"/>
                <w:color w:val="000000"/>
                <w:lang w:val="es-AR" w:eastAsia="es-AR" w:bidi="es-AR"/>
              </w:rPr>
              <w:t>Error absoluto ponderado</w:t>
            </w:r>
          </w:p>
        </w:tc>
        <w:tc>
          <w:tcPr>
            <w:tcW w:type="dxa" w:w="4535"/>
            <w:shd w:fill="F3F6F7"/>
            <w:vAlign w:val="center"/>
          </w:tcPr>
          <w:p>
            <w:r>
              <w:rPr>
                <w:sz w:val="16"/>
                <w:color w:val="000000"/>
                <w:lang w:val="es-AR" w:eastAsia="es-AR" w:bidi="es-AR"/>
              </w:rPr>
              <w:t>Relaciona el error total con la demanda total. Es la métrica principal para comparar modelos.</w:t>
            </w:r>
          </w:p>
        </w:tc>
      </w:tr>
      <w:tr>
        <w:trPr>
          <w:cantSplit w:val="1"/>
        </w:trPr>
        <w:tc>
          <w:tcPr>
            <w:tcW w:type="dxa" w:w="1417"/>
            <w:vAlign w:val="center"/>
          </w:tcPr>
          <w:p>
            <w:r>
              <w:rPr>
                <w:sz w:val="16"/>
                <w:color w:val="000000"/>
                <w:lang w:val="es-AR" w:eastAsia="es-AR" w:bidi="es-AR"/>
              </w:rPr>
              <w:t>Bias</w:t>
            </w:r>
          </w:p>
        </w:tc>
        <w:tc>
          <w:tcPr>
            <w:tcW w:type="dxa" w:w="2835"/>
            <w:vAlign w:val="center"/>
          </w:tcPr>
          <w:p>
            <w:r>
              <w:rPr>
                <w:sz w:val="16"/>
                <w:color w:val="000000"/>
                <w:lang w:val="es-AR" w:eastAsia="es-AR" w:bidi="es-AR"/>
              </w:rPr>
              <w:t>Sesgo medio</w:t>
            </w:r>
          </w:p>
        </w:tc>
        <w:tc>
          <w:tcPr>
            <w:tcW w:type="dxa" w:w="4535"/>
            <w:vAlign w:val="center"/>
          </w:tcPr>
          <w:p>
            <w:r>
              <w:rPr>
                <w:sz w:val="16"/>
                <w:color w:val="000000"/>
                <w:lang w:val="es-AR" w:eastAsia="es-AR" w:bidi="es-AR"/>
              </w:rPr>
              <w:t>Indica si el modelo tiende a sobreestimar o subestimar.</w:t>
            </w:r>
          </w:p>
        </w:tc>
      </w:tr>
    </w:tbl>
    <w:p>
      <w:pPr>
        <w:jc w:val="center"/>
      </w:pPr>
      <w:r>
        <w:rPr>
          <w:color w:val="000000"/>
          <w:lang w:val="es-AR" w:eastAsia="es-AR" w:bidi="es-AR"/>
        </w:rPr>
        <w:drawing>
          <wp:inline xmlns:a="http://schemas.openxmlformats.org/drawingml/2006/main" xmlns:pic="http://schemas.openxmlformats.org/drawingml/2006/picture">
            <wp:extent cx="5688000" cy="3564256"/>
            <wp:docPr id="6" name="Picture 6"/>
            <wp:cNvGraphicFramePr>
              <a:graphicFrameLocks noChangeAspect="1"/>
            </wp:cNvGraphicFramePr>
            <a:graphic>
              <a:graphicData uri="http://schemas.openxmlformats.org/drawingml/2006/picture">
                <pic:pic>
                  <pic:nvPicPr>
                    <pic:cNvPr id="0" name="05_error_wape_modelos.png"/>
                    <pic:cNvPicPr/>
                  </pic:nvPicPr>
                  <pic:blipFill>
                    <a:blip r:embed="rId16"/>
                    <a:stretch>
                      <a:fillRect/>
                    </a:stretch>
                  </pic:blipFill>
                  <pic:spPr>
                    <a:xfrm>
                      <a:off x="0" y="0"/>
                      <a:ext cx="5688000" cy="3564256"/>
                    </a:xfrm>
                    <a:prstGeom prst="rect"/>
                  </pic:spPr>
                </pic:pic>
              </a:graphicData>
            </a:graphic>
          </wp:inline>
        </w:drawing>
      </w:r>
    </w:p>
    <w:p>
      <w:pPr>
        <w:jc w:val="center"/>
      </w:pPr>
      <w:r>
        <w:rPr>
          <w:i/>
          <w:color w:val="000000"/>
          <w:sz w:val="18"/>
          <w:lang w:val="es-AR" w:eastAsia="es-AR" w:bidi="es-AR"/>
        </w:rPr>
        <w:t>Figura 6. WAPE fuera de muestra por modelo en las validaciones 2025 y 2026.</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1"/>
        </w:trPr>
        <w:tc>
          <w:tcPr>
            <w:tcW w:type="dxa" w:w="2268"/>
            <w:shd w:fill="0B4F59"/>
            <w:vAlign w:val="center"/>
          </w:tcPr>
          <w:p>
            <w:r>
              <w:rPr>
                <w:b/>
                <w:color w:val="000000"/>
                <w:sz w:val="17"/>
                <w:lang w:val="es-AR" w:eastAsia="es-AR" w:bidi="es-AR"/>
              </w:rPr>
              <w:t>Modelo</w:t>
            </w:r>
          </w:p>
        </w:tc>
        <w:tc>
          <w:tcPr>
            <w:tcW w:type="dxa" w:w="2268"/>
            <w:shd w:fill="0B4F59"/>
            <w:vAlign w:val="center"/>
          </w:tcPr>
          <w:p>
            <w:r>
              <w:rPr>
                <w:b/>
                <w:color w:val="000000"/>
                <w:sz w:val="17"/>
                <w:lang w:val="es-AR" w:eastAsia="es-AR" w:bidi="es-AR"/>
              </w:rPr>
              <w:t>WAPE validación 2025</w:t>
            </w:r>
          </w:p>
        </w:tc>
        <w:tc>
          <w:tcPr>
            <w:tcW w:type="dxa" w:w="2268"/>
            <w:shd w:fill="0B4F59"/>
            <w:vAlign w:val="center"/>
          </w:tcPr>
          <w:p>
            <w:r>
              <w:rPr>
                <w:b/>
                <w:color w:val="000000"/>
                <w:sz w:val="17"/>
                <w:lang w:val="es-AR" w:eastAsia="es-AR" w:bidi="es-AR"/>
              </w:rPr>
              <w:t>WAPE validación 2026</w:t>
            </w:r>
          </w:p>
        </w:tc>
        <w:tc>
          <w:tcPr>
            <w:tcW w:type="dxa" w:w="2268"/>
            <w:shd w:fill="0B4F59"/>
            <w:vAlign w:val="center"/>
          </w:tcPr>
          <w:p>
            <w:r>
              <w:rPr>
                <w:b/>
                <w:color w:val="000000"/>
                <w:sz w:val="17"/>
                <w:lang w:val="es-AR" w:eastAsia="es-AR" w:bidi="es-AR"/>
              </w:rPr>
              <w:t>WAPE promedio</w:t>
            </w:r>
          </w:p>
        </w:tc>
      </w:tr>
      <w:tr>
        <w:trPr>
          <w:cantSplit w:val="1"/>
        </w:trPr>
        <w:tc>
          <w:tcPr>
            <w:tcW w:type="dxa" w:w="2268"/>
            <w:vAlign w:val="center"/>
          </w:tcPr>
          <w:p>
            <w:r>
              <w:rPr>
                <w:sz w:val="17"/>
                <w:color w:val="000000"/>
                <w:lang w:val="es-AR" w:eastAsia="es-AR" w:bidi="es-AR"/>
              </w:rPr>
              <w:t>SeasonalNaive</w:t>
            </w:r>
          </w:p>
        </w:tc>
        <w:tc>
          <w:tcPr>
            <w:tcW w:type="dxa" w:w="2268"/>
            <w:vAlign w:val="center"/>
          </w:tcPr>
          <w:p>
            <w:r>
              <w:rPr>
                <w:sz w:val="17"/>
                <w:color w:val="000000"/>
                <w:lang w:val="es-AR" w:eastAsia="es-AR" w:bidi="es-AR"/>
              </w:rPr>
              <w:t>7.23 %</w:t>
            </w:r>
          </w:p>
        </w:tc>
        <w:tc>
          <w:tcPr>
            <w:tcW w:type="dxa" w:w="2268"/>
            <w:vAlign w:val="center"/>
          </w:tcPr>
          <w:p>
            <w:r>
              <w:rPr>
                <w:sz w:val="17"/>
                <w:color w:val="000000"/>
                <w:lang w:val="es-AR" w:eastAsia="es-AR" w:bidi="es-AR"/>
              </w:rPr>
              <w:t>6.05 %</w:t>
            </w:r>
          </w:p>
        </w:tc>
        <w:tc>
          <w:tcPr>
            <w:tcW w:type="dxa" w:w="2268"/>
            <w:vAlign w:val="center"/>
          </w:tcPr>
          <w:p>
            <w:r>
              <w:rPr>
                <w:sz w:val="17"/>
                <w:color w:val="000000"/>
                <w:lang w:val="es-AR" w:eastAsia="es-AR" w:bidi="es-AR"/>
              </w:rPr>
              <w:t>6.64 %</w:t>
            </w:r>
          </w:p>
        </w:tc>
      </w:tr>
      <w:tr>
        <w:trPr>
          <w:cantSplit w:val="1"/>
        </w:trPr>
        <w:tc>
          <w:tcPr>
            <w:tcW w:type="dxa" w:w="2268"/>
            <w:shd w:fill="F3F6F7"/>
            <w:vAlign w:val="center"/>
          </w:tcPr>
          <w:p>
            <w:r>
              <w:rPr>
                <w:sz w:val="17"/>
                <w:color w:val="000000"/>
                <w:lang w:val="es-AR" w:eastAsia="es-AR" w:bidi="es-AR"/>
              </w:rPr>
              <w:t>ETS</w:t>
            </w:r>
          </w:p>
        </w:tc>
        <w:tc>
          <w:tcPr>
            <w:tcW w:type="dxa" w:w="2268"/>
            <w:shd w:fill="F3F6F7"/>
            <w:vAlign w:val="center"/>
          </w:tcPr>
          <w:p>
            <w:r>
              <w:rPr>
                <w:sz w:val="17"/>
                <w:color w:val="000000"/>
                <w:lang w:val="es-AR" w:eastAsia="es-AR" w:bidi="es-AR"/>
              </w:rPr>
              <w:t>7.51 %</w:t>
            </w:r>
          </w:p>
        </w:tc>
        <w:tc>
          <w:tcPr>
            <w:tcW w:type="dxa" w:w="2268"/>
            <w:shd w:fill="F3F6F7"/>
            <w:vAlign w:val="center"/>
          </w:tcPr>
          <w:p>
            <w:r>
              <w:rPr>
                <w:sz w:val="17"/>
                <w:color w:val="000000"/>
                <w:lang w:val="es-AR" w:eastAsia="es-AR" w:bidi="es-AR"/>
              </w:rPr>
              <w:t>5.34 %</w:t>
            </w:r>
          </w:p>
        </w:tc>
        <w:tc>
          <w:tcPr>
            <w:tcW w:type="dxa" w:w="2268"/>
            <w:shd w:fill="F3F6F7"/>
            <w:vAlign w:val="center"/>
          </w:tcPr>
          <w:p>
            <w:r>
              <w:rPr>
                <w:sz w:val="17"/>
                <w:color w:val="000000"/>
                <w:lang w:val="es-AR" w:eastAsia="es-AR" w:bidi="es-AR"/>
              </w:rPr>
              <w:t>6.42 %</w:t>
            </w:r>
          </w:p>
        </w:tc>
      </w:tr>
      <w:tr>
        <w:trPr>
          <w:cantSplit w:val="1"/>
        </w:trPr>
        <w:tc>
          <w:tcPr>
            <w:tcW w:type="dxa" w:w="2268"/>
            <w:vAlign w:val="center"/>
          </w:tcPr>
          <w:p>
            <w:r>
              <w:rPr>
                <w:sz w:val="17"/>
                <w:color w:val="000000"/>
                <w:lang w:val="es-AR" w:eastAsia="es-AR" w:bidi="es-AR"/>
              </w:rPr>
              <w:t>SARIMA</w:t>
            </w:r>
          </w:p>
        </w:tc>
        <w:tc>
          <w:tcPr>
            <w:tcW w:type="dxa" w:w="2268"/>
            <w:vAlign w:val="center"/>
          </w:tcPr>
          <w:p>
            <w:r>
              <w:rPr>
                <w:sz w:val="17"/>
                <w:color w:val="000000"/>
                <w:lang w:val="es-AR" w:eastAsia="es-AR" w:bidi="es-AR"/>
              </w:rPr>
              <w:t>8.10 %</w:t>
            </w:r>
          </w:p>
        </w:tc>
        <w:tc>
          <w:tcPr>
            <w:tcW w:type="dxa" w:w="2268"/>
            <w:vAlign w:val="center"/>
          </w:tcPr>
          <w:p>
            <w:r>
              <w:rPr>
                <w:sz w:val="17"/>
                <w:color w:val="000000"/>
                <w:lang w:val="es-AR" w:eastAsia="es-AR" w:bidi="es-AR"/>
              </w:rPr>
              <w:t>6.27 %</w:t>
            </w:r>
          </w:p>
        </w:tc>
        <w:tc>
          <w:tcPr>
            <w:tcW w:type="dxa" w:w="2268"/>
            <w:vAlign w:val="center"/>
          </w:tcPr>
          <w:p>
            <w:r>
              <w:rPr>
                <w:sz w:val="17"/>
                <w:color w:val="000000"/>
                <w:lang w:val="es-AR" w:eastAsia="es-AR" w:bidi="es-AR"/>
              </w:rPr>
              <w:t>7.18 %</w:t>
            </w:r>
          </w:p>
        </w:tc>
      </w:tr>
      <w:tr>
        <w:trPr>
          <w:cantSplit w:val="1"/>
        </w:trPr>
        <w:tc>
          <w:tcPr>
            <w:tcW w:type="dxa" w:w="2268"/>
            <w:shd w:fill="F3F6F7"/>
            <w:vAlign w:val="center"/>
          </w:tcPr>
          <w:p>
            <w:r>
              <w:rPr>
                <w:sz w:val="17"/>
                <w:color w:val="000000"/>
                <w:lang w:val="es-AR" w:eastAsia="es-AR" w:bidi="es-AR"/>
              </w:rPr>
              <w:t>XGBoost</w:t>
            </w:r>
          </w:p>
        </w:tc>
        <w:tc>
          <w:tcPr>
            <w:tcW w:type="dxa" w:w="2268"/>
            <w:shd w:fill="F3F6F7"/>
            <w:vAlign w:val="center"/>
          </w:tcPr>
          <w:p>
            <w:r>
              <w:rPr>
                <w:sz w:val="17"/>
                <w:color w:val="000000"/>
                <w:lang w:val="es-AR" w:eastAsia="es-AR" w:bidi="es-AR"/>
              </w:rPr>
              <w:t>9.92 %</w:t>
            </w:r>
          </w:p>
        </w:tc>
        <w:tc>
          <w:tcPr>
            <w:tcW w:type="dxa" w:w="2268"/>
            <w:shd w:fill="F3F6F7"/>
            <w:vAlign w:val="center"/>
          </w:tcPr>
          <w:p>
            <w:r>
              <w:rPr>
                <w:sz w:val="17"/>
                <w:color w:val="000000"/>
                <w:lang w:val="es-AR" w:eastAsia="es-AR" w:bidi="es-AR"/>
              </w:rPr>
              <w:t>4.63 %</w:t>
            </w:r>
          </w:p>
        </w:tc>
        <w:tc>
          <w:tcPr>
            <w:tcW w:type="dxa" w:w="2268"/>
            <w:shd w:fill="F3F6F7"/>
            <w:vAlign w:val="center"/>
          </w:tcPr>
          <w:p>
            <w:r>
              <w:rPr>
                <w:sz w:val="17"/>
                <w:color w:val="000000"/>
                <w:lang w:val="es-AR" w:eastAsia="es-AR" w:bidi="es-AR"/>
              </w:rPr>
              <w:t>7.27 %</w:t>
            </w:r>
          </w:p>
        </w:tc>
      </w:tr>
    </w:tbl>
    <w:p>
      <w:r>
        <w:rPr>
          <w:color w:val="000000"/>
          <w:lang w:val="es-AR" w:eastAsia="es-AR" w:bidi="es-AR"/>
        </w:rPr>
        <w:t>En enero–junio 2026, XGBoost es el modelo más preciso (4,63 % WAPE), seguido por ETS (5,34 %). Sin embargo, cuando se repite la prueba sobre enero–junio 2025, XGBoost es el peor de los cuatro (9,92 %), mientras Seasonal Naive y ETS quedan alrededor de 7,2–7,5 %. Por eso la selección no debe basarse en un único holdout favorable.</w:t>
      </w:r>
    </w:p>
    <w:tbl>
      <w:tblPr>
        <w:tblW w:type="auto" w:w="0"/>
        <w:jc w:val="center"/>
        <w:tblLook w:firstColumn="1" w:firstRow="1" w:lastColumn="0" w:lastRow="0" w:noHBand="0" w:noVBand="1" w:val="04A0"/>
      </w:tblPr>
      <w:tblGrid>
        <w:gridCol w:w="9638"/>
      </w:tblGrid>
      <w:tr>
        <w:trPr>
          <w:cantSplit w:val="1"/>
        </w:trPr>
        <w:tc>
          <w:tcPr>
            <w:tcW w:type="dxa" w:w="9638"/>
            <w:shd w:fill="EAF4F5"/>
            <w:tcMar>
              <w:top w:w="160" w:type="dxa"/>
              <w:start w:w="180" w:type="dxa"/>
              <w:bottom w:w="160" w:type="dxa"/>
              <w:end w:w="180" w:type="dxa"/>
            </w:tcMar>
          </w:tcPr>
          <w:p>
            <w:r>
              <w:rPr>
                <w:b/>
                <w:color w:val="000000"/>
                <w:sz w:val="22"/>
                <w:lang w:val="es-AR" w:eastAsia="es-AR" w:bidi="es-AR"/>
              </w:rPr>
              <w:t>Conclusión de modelado</w:t>
              <w:br/>
            </w:r>
            <w:r>
              <w:rPr>
                <w:sz w:val="20"/>
                <w:color w:val="000000"/>
                <w:lang w:val="es-AR" w:eastAsia="es-AR" w:bidi="es-AR"/>
              </w:rPr>
              <w:t>ETS es el modelo más robusto en promedio, con 6,42 % WAPE. XGBoost es muy competitivo y fue el mejor en 2026, pero muestra mayor variabilidad entre períodos. Para una implementación productiva conviene mantener un esquema de backtesting continuo y comparar siempre contra un baseline estacional.</w:t>
            </w:r>
          </w:p>
        </w:tc>
      </w:tr>
    </w:tbl>
    <w:p/>
    <w:p>
      <w:pPr>
        <w:pStyle w:val="Heading2"/>
      </w:pPr>
      <w:r>
        <w:rPr>
          <w:color w:val="000000"/>
          <w:lang w:val="es-AR" w:eastAsia="es-AR" w:bidi="es-AR"/>
        </w:rPr>
        <w:t>9.3 Real vs. pronosticado en 2026</w:t>
      </w:r>
    </w:p>
    <w:p>
      <w:pPr>
        <w:jc w:val="center"/>
      </w:pPr>
      <w:r>
        <w:rPr>
          <w:color w:val="000000"/>
          <w:lang w:val="es-AR" w:eastAsia="es-AR" w:bidi="es-AR"/>
        </w:rPr>
        <w:drawing>
          <wp:inline xmlns:a="http://schemas.openxmlformats.org/drawingml/2006/main" xmlns:pic="http://schemas.openxmlformats.org/drawingml/2006/picture">
            <wp:extent cx="5688000" cy="3213370"/>
            <wp:docPr id="7" name="Picture 7"/>
            <wp:cNvGraphicFramePr>
              <a:graphicFrameLocks noChangeAspect="1"/>
            </wp:cNvGraphicFramePr>
            <a:graphic>
              <a:graphicData uri="http://schemas.openxmlformats.org/drawingml/2006/picture">
                <pic:pic>
                  <pic:nvPicPr>
                    <pic:cNvPr id="0" name="06_real_vs_pronostico_2026.png"/>
                    <pic:cNvPicPr/>
                  </pic:nvPicPr>
                  <pic:blipFill>
                    <a:blip r:embed="rId17"/>
                    <a:stretch>
                      <a:fillRect/>
                    </a:stretch>
                  </pic:blipFill>
                  <pic:spPr>
                    <a:xfrm>
                      <a:off x="0" y="0"/>
                      <a:ext cx="5688000" cy="3213370"/>
                    </a:xfrm>
                    <a:prstGeom prst="rect"/>
                  </pic:spPr>
                </pic:pic>
              </a:graphicData>
            </a:graphic>
          </wp:inline>
        </w:drawing>
      </w:r>
    </w:p>
    <w:p>
      <w:pPr>
        <w:jc w:val="center"/>
      </w:pPr>
      <w:r>
        <w:rPr>
          <w:i/>
          <w:color w:val="000000"/>
          <w:sz w:val="18"/>
          <w:lang w:val="es-AR" w:eastAsia="es-AR" w:bidi="es-AR"/>
        </w:rPr>
        <w:t>Figura 7. Demanda real frente a ETS y XGBoost, enero–junio 2026.</w:t>
      </w:r>
    </w:p>
    <w:p>
      <w:r>
        <w:rPr>
          <w:color w:val="000000"/>
          <w:lang w:val="es-AR" w:eastAsia="es-AR" w:bidi="es-AR"/>
        </w:rPr>
        <w:t>El gráfico conserva solamente el dato real y los dos modelos más relevantes para la decisión: ETS por robustez global y XGBoost por desempeño específico en 2026. Esto evita superponer cuatro pronósticos y mejora la lectura visual. Ambos capturan la caída de demanda hacia abril y la recuperación posterior, aunque difieren en magnitud durante los primeros meses.</w:t>
      </w:r>
    </w:p>
    <w:p>
      <w:bookmarkStart w:id="11" w:name="sec_11_10_Interpretaci_n_integrada_de"/>
      <w:pPr>
        <w:pStyle w:val="Heading1"/>
      </w:pPr>
      <w:r>
        <w:rPr>
          <w:color w:val="000000"/>
          <w:lang w:val="es-AR" w:eastAsia="es-AR" w:bidi="es-AR"/>
        </w:rPr>
        <w:t>10. Interpretación integrada de los resultados</w:t>
      </w:r>
      <w:bookmarkEnd w:id="11"/>
    </w:p>
    <w:p>
      <w:r>
        <w:rPr>
          <w:color w:val="000000"/>
          <w:lang w:val="es-AR" w:eastAsia="es-AR" w:bidi="es-AR"/>
        </w:rPr>
        <w:t>El análisis conjunto permite pasar de una descripción aislada de tablas a una lectura sistémica del consumo eléctrico provincial.</w:t>
      </w:r>
    </w:p>
    <w:p>
      <w:pPr>
        <w:pStyle w:val="ListBullet"/>
        <w:spacing w:after="40"/>
      </w:pPr>
      <w:r>
        <w:rPr>
          <w:color w:val="000000"/>
          <w:lang w:val="es-AR" w:eastAsia="es-AR" w:bidi="es-AR"/>
        </w:rPr>
        <w:t>Escala nacional: el agregado se mantiene estable. El cambio acumulado 2023–2025 es de solo +0,26 %.</w:t>
      </w:r>
    </w:p>
    <w:p>
      <w:pPr>
        <w:pStyle w:val="ListBullet"/>
        <w:spacing w:after="40"/>
      </w:pPr>
      <w:r>
        <w:rPr>
          <w:color w:val="000000"/>
          <w:lang w:val="es-AR" w:eastAsia="es-AR" w:bidi="es-AR"/>
        </w:rPr>
        <w:t>Escala territorial: esa estabilidad oculta diferencias fuertes. Chubut crece casi 16 %, mientras varias provincias presentan caídas.</w:t>
      </w:r>
    </w:p>
    <w:p>
      <w:pPr>
        <w:pStyle w:val="ListBullet"/>
        <w:spacing w:after="40"/>
      </w:pPr>
      <w:r>
        <w:rPr>
          <w:color w:val="000000"/>
          <w:lang w:val="es-AR" w:eastAsia="es-AR" w:bidi="es-AR"/>
        </w:rPr>
        <w:t>Concentración: Buenos Aires representa cerca de la mitad de la demanda y el Top 5 supera 73 %. Esto debe considerarse en cualquier indicador nacional.</w:t>
      </w:r>
    </w:p>
    <w:p>
      <w:pPr>
        <w:pStyle w:val="ListBullet"/>
        <w:spacing w:after="40"/>
      </w:pPr>
      <w:r>
        <w:rPr>
          <w:color w:val="000000"/>
          <w:lang w:val="es-AR" w:eastAsia="es-AR" w:bidi="es-AR"/>
        </w:rPr>
        <w:t>Estacionalidad: existe una estructura mensual visible, pero no idéntica entre años; por eso las comparaciones requieren normalización por días observados.</w:t>
      </w:r>
    </w:p>
    <w:p>
      <w:pPr>
        <w:pStyle w:val="ListBullet"/>
        <w:spacing w:after="40"/>
      </w:pPr>
      <w:r>
        <w:rPr>
          <w:color w:val="000000"/>
          <w:lang w:val="es-AR" w:eastAsia="es-AR" w:bidi="es-AR"/>
        </w:rPr>
        <w:t>Actividad económica/social: los días no hábiles reducen sistemáticamente el consumo alrededor de 11–12 %.</w:t>
      </w:r>
    </w:p>
    <w:p>
      <w:pPr>
        <w:pStyle w:val="ListBullet"/>
        <w:spacing w:after="40"/>
      </w:pPr>
      <w:r>
        <w:rPr>
          <w:color w:val="000000"/>
          <w:lang w:val="es-AR" w:eastAsia="es-AR" w:bidi="es-AR"/>
        </w:rPr>
        <w:t>Intradía: el valle de madrugada y el máximo nocturno muestran que la resolución horaria aporta información que se pierde en análisis exclusivamente mensuales.</w:t>
      </w:r>
    </w:p>
    <w:p>
      <w:pPr>
        <w:pStyle w:val="ListBullet"/>
        <w:spacing w:after="40"/>
      </w:pPr>
      <w:r>
        <w:rPr>
          <w:color w:val="000000"/>
          <w:lang w:val="es-AR" w:eastAsia="es-AR" w:bidi="es-AR"/>
        </w:rPr>
        <w:t>Segmentación: las provincias no comparten una única forma estacional; tres patrones describen mejor la heterogeneidad sin sobredimensionar el número de grupos.</w:t>
      </w:r>
    </w:p>
    <w:p>
      <w:pPr>
        <w:pStyle w:val="ListBullet"/>
        <w:spacing w:after="40"/>
      </w:pPr>
      <w:r>
        <w:rPr>
          <w:color w:val="000000"/>
          <w:lang w:val="es-AR" w:eastAsia="es-AR" w:bidi="es-AR"/>
        </w:rPr>
        <w:t>Predicción: no existe un modelo universalmente ganador. La robustez fuera de muestra es más importante que ganar en un único período.</w:t>
      </w:r>
    </w:p>
    <w:p>
      <w:bookmarkStart w:id="12" w:name="sec_12_11_Limitaciones_y_cautelas"/>
      <w:pPr>
        <w:pStyle w:val="Heading1"/>
      </w:pPr>
      <w:r>
        <w:rPr>
          <w:color w:val="000000"/>
          <w:lang w:val="es-AR" w:eastAsia="es-AR" w:bidi="es-AR"/>
        </w:rPr>
        <w:t>11. Limitaciones y cautelas</w:t>
      </w:r>
      <w:bookmarkEnd w:id="12"/>
    </w:p>
    <w:p>
      <w:pPr>
        <w:pStyle w:val="ListBullet"/>
        <w:spacing w:after="40"/>
      </w:pPr>
      <w:r>
        <w:rPr>
          <w:color w:val="000000"/>
          <w:lang w:val="es-AR" w:eastAsia="es-AR" w:bidi="es-AR"/>
        </w:rPr>
        <w:t>2026 contiene únicamente enero–junio; no debe presentarse como un año completo.</w:t>
      </w:r>
    </w:p>
    <w:p>
      <w:pPr>
        <w:pStyle w:val="ListBullet"/>
        <w:spacing w:after="40"/>
      </w:pPr>
      <w:r>
        <w:rPr>
          <w:color w:val="000000"/>
          <w:lang w:val="es-AR" w:eastAsia="es-AR" w:bidi="es-AR"/>
        </w:rPr>
        <w:t>Los modelos mensuales se entrenan con una historia relativamente corta (36 meses para 2023–2025). Esto limita especialmente a modelos complejos como XGBoost.</w:t>
      </w:r>
    </w:p>
    <w:p>
      <w:pPr>
        <w:pStyle w:val="ListBullet"/>
        <w:spacing w:after="40"/>
      </w:pPr>
      <w:r>
        <w:rPr>
          <w:color w:val="000000"/>
          <w:lang w:val="es-AR" w:eastAsia="es-AR" w:bidi="es-AR"/>
        </w:rPr>
        <w:t>El análisis explica patrones de demanda, pero no identifica causalidad. Para explicar por qué una provincia crece o cae se necesitarían variables externas como temperatura, actividad económica, población, industria o tarifas.</w:t>
      </w:r>
    </w:p>
    <w:p>
      <w:pPr>
        <w:pStyle w:val="ListBullet"/>
        <w:spacing w:after="40"/>
      </w:pPr>
      <w:r>
        <w:rPr>
          <w:color w:val="000000"/>
          <w:lang w:val="es-AR" w:eastAsia="es-AR" w:bidi="es-AR"/>
        </w:rPr>
        <w:t>Los tres valores provinciales iguales a cero fueron marcados como anomalías y no corregidos sin evidencia de la fuente original.</w:t>
      </w:r>
    </w:p>
    <w:p>
      <w:pPr>
        <w:pStyle w:val="ListBullet"/>
        <w:spacing w:after="40"/>
      </w:pPr>
      <w:r>
        <w:rPr>
          <w:color w:val="000000"/>
          <w:lang w:val="es-AR" w:eastAsia="es-AR" w:bidi="es-AR"/>
        </w:rPr>
        <w:t>Los clusters representan similitud estadística de forma estacional, no regiones geográficas ni categorías causales.</w:t>
      </w:r>
    </w:p>
    <w:p>
      <w:pPr>
        <w:pStyle w:val="ListBullet"/>
        <w:spacing w:after="40"/>
      </w:pPr>
      <w:r>
        <w:rPr>
          <w:color w:val="000000"/>
          <w:lang w:val="es-AR" w:eastAsia="es-AR" w:bidi="es-AR"/>
        </w:rPr>
        <w:t>El WAPE resume el error agregado; para aplicaciones operativas conviene revisar también errores por provincia y por mes, especialmente en jurisdicciones de alta participación.</w:t>
      </w:r>
    </w:p>
    <w:p>
      <w:bookmarkStart w:id="13" w:name="sec_13_12_Recomendaci_n_evoluci_n_a_P"/>
      <w:pPr>
        <w:pStyle w:val="Heading1"/>
      </w:pPr>
      <w:r>
        <w:rPr>
          <w:color w:val="000000"/>
          <w:lang w:val="es-AR" w:eastAsia="es-AR" w:bidi="es-AR"/>
        </w:rPr>
        <w:t>12. Recomendación: evolución a Power BI</w:t>
      </w:r>
      <w:bookmarkEnd w:id="13"/>
    </w:p>
    <w:p>
      <w:r>
        <w:rPr>
          <w:color w:val="000000"/>
          <w:lang w:val="es-AR" w:eastAsia="es-AR" w:bidi="es-AR"/>
        </w:rPr>
        <w:t>Para la entrega formal y la explicación metodológica, este documento Word es el formato adecuado. Para exploración dinámica, Power BI es la opción recomendada. Son productos complementarios: el informe cuenta la historia, documenta decisiones y deja conclusiones; Power BI permite que el usuario filtre, compare y profundice sin generar decenas de gráficos estáticos.</w:t>
      </w:r>
    </w:p>
    <w:tbl>
      <w:tblPr>
        <w:tblW w:type="auto" w:w="0"/>
        <w:jc w:val="center"/>
        <w:tblLook w:firstColumn="1" w:firstRow="1" w:lastColumn="0" w:lastRow="0" w:noHBand="0" w:noVBand="1" w:val="04A0"/>
      </w:tblPr>
      <w:tblGrid>
        <w:gridCol w:w="9638"/>
      </w:tblGrid>
      <w:tr>
        <w:trPr>
          <w:cantSplit w:val="1"/>
        </w:trPr>
        <w:tc>
          <w:tcPr>
            <w:tcW w:type="dxa" w:w="9638"/>
            <w:shd w:fill="EAF4F5"/>
            <w:tcMar>
              <w:top w:w="160" w:type="dxa"/>
              <w:start w:w="180" w:type="dxa"/>
              <w:bottom w:w="160" w:type="dxa"/>
              <w:end w:w="180" w:type="dxa"/>
            </w:tcMar>
          </w:tcPr>
          <w:p>
            <w:r>
              <w:rPr>
                <w:b/>
                <w:color w:val="000000"/>
                <w:sz w:val="22"/>
                <w:lang w:val="es-AR" w:eastAsia="es-AR" w:bidi="es-AR"/>
              </w:rPr>
              <w:t>Recomendación</w:t>
              <w:br/>
            </w:r>
            <w:r>
              <w:rPr>
                <w:sz w:val="20"/>
                <w:color w:val="000000"/>
                <w:lang w:val="es-AR" w:eastAsia="es-AR" w:bidi="es-AR"/>
              </w:rPr>
              <w:t>Mantener este informe como documento maestro y construir un dashboard Power BI sobre la misma lógica de métricas seleccionadas. No trasladar los 102 gráficos exploratorios: el tablero debe conservar el mismo principio de selección y claridad.</w:t>
            </w:r>
          </w:p>
        </w:tc>
      </w:tr>
    </w:tbl>
    <w:p/>
    <w:p>
      <w:pPr>
        <w:pStyle w:val="Heading2"/>
      </w:pPr>
      <w:r>
        <w:rPr>
          <w:color w:val="000000"/>
          <w:lang w:val="es-AR" w:eastAsia="es-AR" w:bidi="es-AR"/>
        </w:rPr>
        <w:t>12.1 Qué aportaría Power BI</w:t>
      </w:r>
    </w:p>
    <w:p>
      <w:pPr>
        <w:pStyle w:val="ListBullet"/>
        <w:spacing w:after="40"/>
      </w:pPr>
      <w:r>
        <w:rPr>
          <w:color w:val="000000"/>
          <w:lang w:val="es-AR" w:eastAsia="es-AR" w:bidi="es-AR"/>
        </w:rPr>
        <w:t>Segmentadores (slicers) por año, provincia, mes y tipo de día.</w:t>
      </w:r>
    </w:p>
    <w:p>
      <w:pPr>
        <w:pStyle w:val="ListBullet"/>
        <w:spacing w:after="40"/>
      </w:pPr>
      <w:r>
        <w:rPr>
          <w:color w:val="000000"/>
          <w:lang w:val="es-AR" w:eastAsia="es-AR" w:bidi="es-AR"/>
        </w:rPr>
        <w:t>Interacción cruzada entre gráficos: seleccionar una provincia puede actualizar automáticamente el resto de la página.</w:t>
      </w:r>
    </w:p>
    <w:p>
      <w:pPr>
        <w:pStyle w:val="ListBullet"/>
        <w:spacing w:after="40"/>
      </w:pPr>
      <w:r>
        <w:rPr>
          <w:color w:val="000000"/>
          <w:lang w:val="es-AR" w:eastAsia="es-AR" w:bidi="es-AR"/>
        </w:rPr>
        <w:t>Drill-through: desde un ranking provincial abrir una página de detalle de esa provincia.</w:t>
      </w:r>
    </w:p>
    <w:p>
      <w:pPr>
        <w:pStyle w:val="ListBullet"/>
        <w:spacing w:after="40"/>
      </w:pPr>
      <w:r>
        <w:rPr>
          <w:color w:val="000000"/>
          <w:lang w:val="es-AR" w:eastAsia="es-AR" w:bidi="es-AR"/>
        </w:rPr>
        <w:t>Tooltips enriquecidos: al pasar el cursor sobre un dato, mostrar crecimiento, participación, pico horario o error de pronóstico.</w:t>
      </w:r>
    </w:p>
    <w:p>
      <w:pPr>
        <w:pStyle w:val="ListBullet"/>
        <w:spacing w:after="40"/>
      </w:pPr>
      <w:r>
        <w:rPr>
          <w:color w:val="000000"/>
          <w:lang w:val="es-AR" w:eastAsia="es-AR" w:bidi="es-AR"/>
        </w:rPr>
        <w:t>Bookmarks y navegación para alternar vistas ejecutivas, temporales y predictivas.</w:t>
      </w:r>
    </w:p>
    <w:p>
      <w:pPr>
        <w:pStyle w:val="ListBullet"/>
        <w:spacing w:after="40"/>
      </w:pPr>
      <w:r>
        <w:rPr>
          <w:color w:val="000000"/>
          <w:lang w:val="es-AR" w:eastAsia="es-AR" w:bidi="es-AR"/>
        </w:rPr>
        <w:t>Actualización posterior de la base sin rediseñar manualmente todos los gráficos.</w:t>
      </w:r>
    </w:p>
    <w:p>
      <w:pPr>
        <w:pStyle w:val="ListBullet"/>
        <w:spacing w:after="40"/>
      </w:pPr>
      <w:r>
        <w:rPr>
          <w:color w:val="000000"/>
          <w:lang w:val="es-AR" w:eastAsia="es-AR" w:bidi="es-AR"/>
        </w:rPr>
        <w:t>Exportación a PDF cuando se requiera una copia estática del estado filtrado del reporte.</w:t>
      </w:r>
    </w:p>
    <w:p>
      <w:pPr>
        <w:pStyle w:val="Heading2"/>
      </w:pPr>
      <w:r>
        <w:rPr>
          <w:color w:val="000000"/>
          <w:lang w:val="es-AR" w:eastAsia="es-AR" w:bidi="es-AR"/>
        </w:rPr>
        <w:t>12.2 Estructura propuesta del dashboard</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val="1"/>
        </w:trPr>
        <w:tc>
          <w:tcPr>
            <w:tcW w:type="dxa" w:w="2154"/>
            <w:shd w:fill="0B4F59"/>
            <w:vAlign w:val="center"/>
          </w:tcPr>
          <w:p>
            <w:r>
              <w:rPr>
                <w:b/>
                <w:color w:val="000000"/>
                <w:sz w:val="17"/>
                <w:lang w:val="es-AR" w:eastAsia="es-AR" w:bidi="es-AR"/>
              </w:rPr>
              <w:t>Página</w:t>
            </w:r>
          </w:p>
        </w:tc>
        <w:tc>
          <w:tcPr>
            <w:tcW w:type="dxa" w:w="4649"/>
            <w:shd w:fill="0B4F59"/>
            <w:vAlign w:val="center"/>
          </w:tcPr>
          <w:p>
            <w:r>
              <w:rPr>
                <w:b/>
                <w:color w:val="000000"/>
                <w:sz w:val="17"/>
                <w:lang w:val="es-AR" w:eastAsia="es-AR" w:bidi="es-AR"/>
              </w:rPr>
              <w:t>Contenido</w:t>
            </w:r>
          </w:p>
        </w:tc>
        <w:tc>
          <w:tcPr>
            <w:tcW w:type="dxa" w:w="2268"/>
            <w:shd w:fill="0B4F59"/>
            <w:vAlign w:val="center"/>
          </w:tcPr>
          <w:p>
            <w:r>
              <w:rPr>
                <w:b/>
                <w:color w:val="000000"/>
                <w:sz w:val="17"/>
                <w:lang w:val="es-AR" w:eastAsia="es-AR" w:bidi="es-AR"/>
              </w:rPr>
              <w:t>Filtros principales</w:t>
            </w:r>
          </w:p>
        </w:tc>
      </w:tr>
      <w:tr>
        <w:trPr>
          <w:cantSplit w:val="1"/>
        </w:trPr>
        <w:tc>
          <w:tcPr>
            <w:tcW w:type="dxa" w:w="2154"/>
            <w:vAlign w:val="center"/>
          </w:tcPr>
          <w:p>
            <w:r>
              <w:rPr>
                <w:sz w:val="17"/>
                <w:color w:val="000000"/>
                <w:lang w:val="es-AR" w:eastAsia="es-AR" w:bidi="es-AR"/>
              </w:rPr>
              <w:t>1. Resumen ejecutivo</w:t>
            </w:r>
          </w:p>
        </w:tc>
        <w:tc>
          <w:tcPr>
            <w:tcW w:type="dxa" w:w="4649"/>
            <w:vAlign w:val="center"/>
          </w:tcPr>
          <w:p>
            <w:r>
              <w:rPr>
                <w:sz w:val="17"/>
                <w:color w:val="000000"/>
                <w:lang w:val="es-AR" w:eastAsia="es-AR" w:bidi="es-AR"/>
              </w:rPr>
              <w:t>KPI principales, evolución, concentración Top 5 y hallazgos rápidos.</w:t>
            </w:r>
          </w:p>
        </w:tc>
        <w:tc>
          <w:tcPr>
            <w:tcW w:type="dxa" w:w="2268"/>
            <w:vAlign w:val="center"/>
          </w:tcPr>
          <w:p>
            <w:r>
              <w:rPr>
                <w:sz w:val="17"/>
                <w:color w:val="000000"/>
                <w:lang w:val="es-AR" w:eastAsia="es-AR" w:bidi="es-AR"/>
              </w:rPr>
              <w:t>Año</w:t>
            </w:r>
          </w:p>
        </w:tc>
      </w:tr>
      <w:tr>
        <w:trPr>
          <w:cantSplit w:val="1"/>
        </w:trPr>
        <w:tc>
          <w:tcPr>
            <w:tcW w:type="dxa" w:w="2154"/>
            <w:shd w:fill="F3F6F7"/>
            <w:vAlign w:val="center"/>
          </w:tcPr>
          <w:p>
            <w:r>
              <w:rPr>
                <w:sz w:val="17"/>
                <w:color w:val="000000"/>
                <w:lang w:val="es-AR" w:eastAsia="es-AR" w:bidi="es-AR"/>
              </w:rPr>
              <w:t>2. Territorio</w:t>
            </w:r>
          </w:p>
        </w:tc>
        <w:tc>
          <w:tcPr>
            <w:tcW w:type="dxa" w:w="4649"/>
            <w:shd w:fill="F3F6F7"/>
            <w:vAlign w:val="center"/>
          </w:tcPr>
          <w:p>
            <w:r>
              <w:rPr>
                <w:sz w:val="17"/>
                <w:color w:val="000000"/>
                <w:lang w:val="es-AR" w:eastAsia="es-AR" w:bidi="es-AR"/>
              </w:rPr>
              <w:t>Participación provincial, variación 2023–2025, ranking y detalle provincial.</w:t>
            </w:r>
          </w:p>
        </w:tc>
        <w:tc>
          <w:tcPr>
            <w:tcW w:type="dxa" w:w="2268"/>
            <w:shd w:fill="F3F6F7"/>
            <w:vAlign w:val="center"/>
          </w:tcPr>
          <w:p>
            <w:r>
              <w:rPr>
                <w:sz w:val="17"/>
                <w:color w:val="000000"/>
                <w:lang w:val="es-AR" w:eastAsia="es-AR" w:bidi="es-AR"/>
              </w:rPr>
              <w:t>Año · Provincia</w:t>
            </w:r>
          </w:p>
        </w:tc>
      </w:tr>
      <w:tr>
        <w:trPr>
          <w:cantSplit w:val="1"/>
        </w:trPr>
        <w:tc>
          <w:tcPr>
            <w:tcW w:type="dxa" w:w="2154"/>
            <w:vAlign w:val="center"/>
          </w:tcPr>
          <w:p>
            <w:r>
              <w:rPr>
                <w:sz w:val="17"/>
                <w:color w:val="000000"/>
                <w:lang w:val="es-AR" w:eastAsia="es-AR" w:bidi="es-AR"/>
              </w:rPr>
              <w:t>3. Tiempo</w:t>
            </w:r>
          </w:p>
        </w:tc>
        <w:tc>
          <w:tcPr>
            <w:tcW w:type="dxa" w:w="4649"/>
            <w:vAlign w:val="center"/>
          </w:tcPr>
          <w:p>
            <w:r>
              <w:rPr>
                <w:sz w:val="17"/>
                <w:color w:val="000000"/>
                <w:lang w:val="es-AR" w:eastAsia="es-AR" w:bidi="es-AR"/>
              </w:rPr>
              <w:t>Estacionalidad mensual, perfil horario y hábil/no hábil.</w:t>
            </w:r>
          </w:p>
        </w:tc>
        <w:tc>
          <w:tcPr>
            <w:tcW w:type="dxa" w:w="2268"/>
            <w:vAlign w:val="center"/>
          </w:tcPr>
          <w:p>
            <w:r>
              <w:rPr>
                <w:sz w:val="17"/>
                <w:color w:val="000000"/>
                <w:lang w:val="es-AR" w:eastAsia="es-AR" w:bidi="es-AR"/>
              </w:rPr>
              <w:t>Año · Mes · Tipo de día · Provincia</w:t>
            </w:r>
          </w:p>
        </w:tc>
      </w:tr>
      <w:tr>
        <w:trPr>
          <w:cantSplit w:val="1"/>
        </w:trPr>
        <w:tc>
          <w:tcPr>
            <w:tcW w:type="dxa" w:w="2154"/>
            <w:shd w:fill="F3F6F7"/>
            <w:vAlign w:val="center"/>
          </w:tcPr>
          <w:p>
            <w:r>
              <w:rPr>
                <w:sz w:val="17"/>
                <w:color w:val="000000"/>
                <w:lang w:val="es-AR" w:eastAsia="es-AR" w:bidi="es-AR"/>
              </w:rPr>
              <w:t>4. Pronóstico</w:t>
            </w:r>
          </w:p>
        </w:tc>
        <w:tc>
          <w:tcPr>
            <w:tcW w:type="dxa" w:w="4649"/>
            <w:shd w:fill="F3F6F7"/>
            <w:vAlign w:val="center"/>
          </w:tcPr>
          <w:p>
            <w:r>
              <w:rPr>
                <w:sz w:val="17"/>
                <w:color w:val="000000"/>
                <w:lang w:val="es-AR" w:eastAsia="es-AR" w:bidi="es-AR"/>
              </w:rPr>
              <w:t>Real vs. pronosticado, WAPE por modelo y errores por provincia/mes.</w:t>
            </w:r>
          </w:p>
        </w:tc>
        <w:tc>
          <w:tcPr>
            <w:tcW w:type="dxa" w:w="2268"/>
            <w:shd w:fill="F3F6F7"/>
            <w:vAlign w:val="center"/>
          </w:tcPr>
          <w:p>
            <w:r>
              <w:rPr>
                <w:sz w:val="17"/>
                <w:color w:val="000000"/>
                <w:lang w:val="es-AR" w:eastAsia="es-AR" w:bidi="es-AR"/>
              </w:rPr>
              <w:t>Modelo · Provincia · Período</w:t>
            </w:r>
          </w:p>
        </w:tc>
      </w:tr>
      <w:tr>
        <w:trPr>
          <w:cantSplit w:val="1"/>
        </w:trPr>
        <w:tc>
          <w:tcPr>
            <w:tcW w:type="dxa" w:w="2154"/>
            <w:vAlign w:val="center"/>
          </w:tcPr>
          <w:p>
            <w:r>
              <w:rPr>
                <w:sz w:val="17"/>
                <w:color w:val="000000"/>
                <w:lang w:val="es-AR" w:eastAsia="es-AR" w:bidi="es-AR"/>
              </w:rPr>
              <w:t>5. Patrones avanzados</w:t>
            </w:r>
          </w:p>
        </w:tc>
        <w:tc>
          <w:tcPr>
            <w:tcW w:type="dxa" w:w="4649"/>
            <w:vAlign w:val="center"/>
          </w:tcPr>
          <w:p>
            <w:r>
              <w:rPr>
                <w:sz w:val="17"/>
                <w:color w:val="000000"/>
                <w:lang w:val="es-AR" w:eastAsia="es-AR" w:bidi="es-AR"/>
              </w:rPr>
              <w:t>Clusters, perfil estacional y composición de cada patrón.</w:t>
            </w:r>
          </w:p>
        </w:tc>
        <w:tc>
          <w:tcPr>
            <w:tcW w:type="dxa" w:w="2268"/>
            <w:vAlign w:val="center"/>
          </w:tcPr>
          <w:p>
            <w:r>
              <w:rPr>
                <w:sz w:val="17"/>
                <w:color w:val="000000"/>
                <w:lang w:val="es-AR" w:eastAsia="es-AR" w:bidi="es-AR"/>
              </w:rPr>
              <w:t>Año · Cluster · Provincia</w:t>
            </w:r>
          </w:p>
        </w:tc>
      </w:tr>
    </w:tbl>
    <w:p>
      <w:pPr>
        <w:pStyle w:val="Heading2"/>
      </w:pPr>
      <w:r>
        <w:rPr>
          <w:color w:val="000000"/>
          <w:lang w:val="es-AR" w:eastAsia="es-AR" w:bidi="es-AR"/>
        </w:rPr>
        <w:t>12.3 Modelo de datos recomendado</w:t>
      </w:r>
    </w:p>
    <w:p>
      <w:r>
        <w:rPr>
          <w:color w:val="000000"/>
          <w:lang w:val="es-AR" w:eastAsia="es-AR" w:bidi="es-AR"/>
        </w:rPr>
        <w:t>Para Power BI conviene transformar la base provincial “ancha” a formato largo. En lugar de 22 columnas de provincias, cada observación tendría FECHA, HORA, PROVINCIA y DEMANDA_MWH. Con 30.648 horas y 22 provincias, esto produciría aproximadamente 674.256 filas de demanda provincial, un volumen razonable para un modelo tabular. Sobre esa tabla se relacionarían dimensiones de fecha, provincia y tipo de día. Los resultados de pronóstico pueden almacenarse en una tabla separada con MODELO, FECHA_MES, PROVINCIA, REAL/PREDICHO y métricas de error.</w:t>
      </w:r>
    </w:p>
    <w:p>
      <w:pPr>
        <w:pStyle w:val="Heading2"/>
      </w:pPr>
      <w:r>
        <w:rPr>
          <w:color w:val="000000"/>
          <w:lang w:val="es-AR" w:eastAsia="es-AR" w:bidi="es-AR"/>
        </w:rPr>
        <w:t>12.4 Interactividad de este documento</w:t>
      </w:r>
    </w:p>
    <w:p>
      <w:r>
        <w:rPr>
          <w:color w:val="000000"/>
          <w:lang w:val="es-AR" w:eastAsia="es-AR" w:bidi="es-AR"/>
        </w:rPr>
        <w:t>Este archivo Word incluye estructura de encabezados y navegación interna mediante un índice clickeable. Esa interactividad facilita la lectura, pero no filtra ni recalcula datos. Para interacción real con los valores, el formato adecuado es un reporte .pbix abierto en Power BI Desktop o publicado en el servicio Power BI.</w:t>
      </w:r>
    </w:p>
    <w:p>
      <w:r>
        <w:rPr>
          <w:color w:val="000000"/>
          <w:lang w:val="es-AR" w:eastAsia="es-AR" w:bidi="es-AR"/>
        </w:rPr>
        <w:t xml:space="preserve">Referencias técnicas de Power BI: </w:t>
      </w:r>
      <w:hyperlink r:id="rId18">
        <w:r>
          <w:rPr>
            <w:color w:val="000000"/>
            <w:u w:val="single"/>
            <w:lang w:val="es-AR" w:eastAsia="es-AR" w:bidi="es-AR"/>
          </w:rPr>
          <w:t>Slicers</w:t>
        </w:r>
      </w:hyperlink>
      <w:r>
        <w:rPr>
          <w:color w:val="000000"/>
          <w:lang w:val="es-AR" w:eastAsia="es-AR" w:bidi="es-AR"/>
        </w:rPr>
        <w:t xml:space="preserve"> · </w:t>
      </w:r>
      <w:hyperlink r:id="rId19">
        <w:r>
          <w:rPr>
            <w:color w:val="000000"/>
            <w:u w:val="single"/>
            <w:lang w:val="es-AR" w:eastAsia="es-AR" w:bidi="es-AR"/>
          </w:rPr>
          <w:t>Drill-through</w:t>
        </w:r>
      </w:hyperlink>
      <w:r>
        <w:rPr>
          <w:color w:val="000000"/>
          <w:lang w:val="es-AR" w:eastAsia="es-AR" w:bidi="es-AR"/>
        </w:rPr>
        <w:t xml:space="preserve"> · </w:t>
      </w:r>
      <w:hyperlink r:id="rId20">
        <w:r>
          <w:rPr>
            <w:color w:val="000000"/>
            <w:u w:val="single"/>
            <w:lang w:val="es-AR" w:eastAsia="es-AR" w:bidi="es-AR"/>
          </w:rPr>
          <w:t>Bookmarks</w:t>
        </w:r>
      </w:hyperlink>
      <w:r>
        <w:rPr>
          <w:color w:val="000000"/>
          <w:lang w:val="es-AR" w:eastAsia="es-AR" w:bidi="es-AR"/>
        </w:rPr>
        <w:t xml:space="preserve"> · </w:t>
      </w:r>
      <w:hyperlink r:id="rId21">
        <w:r>
          <w:rPr>
            <w:color w:val="000000"/>
            <w:u w:val="single"/>
            <w:lang w:val="es-AR" w:eastAsia="es-AR" w:bidi="es-AR"/>
          </w:rPr>
          <w:t>Exportación a PDF</w:t>
        </w:r>
      </w:hyperlink>
    </w:p>
    <w:p>
      <w:bookmarkStart w:id="14" w:name="sec_14_13_Conclusiones_finales"/>
      <w:pPr>
        <w:pStyle w:val="Heading1"/>
      </w:pPr>
      <w:r>
        <w:rPr>
          <w:color w:val="000000"/>
          <w:lang w:val="es-AR" w:eastAsia="es-AR" w:bidi="es-AR"/>
        </w:rPr>
        <w:t>13. Conclusiones finales</w:t>
      </w:r>
      <w:bookmarkEnd w:id="14"/>
    </w:p>
    <w:p>
      <w:r>
        <w:rPr>
          <w:color w:val="000000"/>
          <w:lang w:val="es-AR" w:eastAsia="es-AR" w:bidi="es-AR"/>
        </w:rPr>
        <w:t>El proyecto tiene una base de datos de muy buena calidad y suficiente profundidad temporal para construir un análisis descriptivo sólido y una primera capa predictiva. La mejora principal no consistió en agregar más gráficos, sino en ordenar el proceso, corregir la carga, validar cada técnica y seleccionar únicamente información que ayude a tomar decisiones o entender el sistema.</w:t>
      </w:r>
    </w:p>
    <w:p>
      <w:pPr>
        <w:pStyle w:val="ListBullet"/>
        <w:spacing w:after="40"/>
      </w:pPr>
      <w:r>
        <w:rPr>
          <w:color w:val="000000"/>
          <w:lang w:val="es-AR" w:eastAsia="es-AR" w:bidi="es-AR"/>
        </w:rPr>
        <w:t>La demanda nacional 2023–2025 es estable, pero territorialmente heterogénea.</w:t>
      </w:r>
    </w:p>
    <w:p>
      <w:pPr>
        <w:pStyle w:val="ListBullet"/>
        <w:spacing w:after="40"/>
      </w:pPr>
      <w:r>
        <w:rPr>
          <w:color w:val="000000"/>
          <w:lang w:val="es-AR" w:eastAsia="es-AR" w:bidi="es-AR"/>
        </w:rPr>
        <w:t>La concentración provincial es alta: cinco provincias explican casi tres cuartas partes del consumo 2025.</w:t>
      </w:r>
    </w:p>
    <w:p>
      <w:pPr>
        <w:pStyle w:val="ListBullet"/>
        <w:spacing w:after="40"/>
      </w:pPr>
      <w:r>
        <w:rPr>
          <w:color w:val="000000"/>
          <w:lang w:val="es-AR" w:eastAsia="es-AR" w:bidi="es-AR"/>
        </w:rPr>
        <w:t>Los patrones hábil/no hábil y horario son consistentes y tienen alto valor descriptivo.</w:t>
      </w:r>
    </w:p>
    <w:p>
      <w:pPr>
        <w:pStyle w:val="ListBullet"/>
        <w:spacing w:after="40"/>
      </w:pPr>
      <w:r>
        <w:rPr>
          <w:color w:val="000000"/>
          <w:lang w:val="es-AR" w:eastAsia="es-AR" w:bidi="es-AR"/>
        </w:rPr>
        <w:t>El clustering es útil como análisis avanzado cuando su número de grupos se valida estadísticamente; tres patrones ofrecen el mejor compromiso actual.</w:t>
      </w:r>
    </w:p>
    <w:p>
      <w:pPr>
        <w:pStyle w:val="ListBullet"/>
        <w:spacing w:after="40"/>
      </w:pPr>
      <w:r>
        <w:rPr>
          <w:color w:val="000000"/>
          <w:lang w:val="es-AR" w:eastAsia="es-AR" w:bidi="es-AR"/>
        </w:rPr>
        <w:t>La predicción debe juzgarse por desempeño fuera de muestra. ETS es el modelo más robusto en las validaciones realizadas, mientras XGBoost fue el más preciso específicamente en 2026.</w:t>
      </w:r>
    </w:p>
    <w:p>
      <w:pPr>
        <w:pStyle w:val="ListBullet"/>
        <w:spacing w:after="40"/>
      </w:pPr>
      <w:r>
        <w:rPr>
          <w:color w:val="000000"/>
          <w:lang w:val="es-AR" w:eastAsia="es-AR" w:bidi="es-AR"/>
        </w:rPr>
        <w:t>El siguiente salto de calidad no es producir más estadísticas, sino convertir estas métricas seleccionadas en un dashboard Power BI con filtros, navegación y actualización controlada.</w:t>
      </w:r>
    </w:p>
    <w:tbl>
      <w:tblPr>
        <w:tblW w:type="auto" w:w="0"/>
        <w:jc w:val="center"/>
        <w:tblLook w:firstColumn="1" w:firstRow="1" w:lastColumn="0" w:lastRow="0" w:noHBand="0" w:noVBand="1" w:val="04A0"/>
      </w:tblPr>
      <w:tblGrid>
        <w:gridCol w:w="9638"/>
      </w:tblGrid>
      <w:tr>
        <w:trPr>
          <w:cantSplit w:val="1"/>
        </w:trPr>
        <w:tc>
          <w:tcPr>
            <w:tcW w:type="dxa" w:w="9638"/>
            <w:shd w:fill="EAF4F5"/>
            <w:tcMar>
              <w:top w:w="160" w:type="dxa"/>
              <w:start w:w="180" w:type="dxa"/>
              <w:bottom w:w="160" w:type="dxa"/>
              <w:end w:w="180" w:type="dxa"/>
            </w:tcMar>
          </w:tcPr>
          <w:p>
            <w:r>
              <w:rPr>
                <w:b/>
                <w:color w:val="000000"/>
                <w:sz w:val="22"/>
                <w:lang w:val="es-AR" w:eastAsia="es-AR" w:bidi="es-AR"/>
              </w:rPr>
              <w:t>Resultado del proyecto</w:t>
              <w:br/>
            </w:r>
            <w:r>
              <w:rPr>
                <w:sz w:val="20"/>
                <w:color w:val="000000"/>
                <w:lang w:val="es-AR" w:eastAsia="es-AR" w:bidi="es-AR"/>
              </w:rPr>
              <w:t>La versión V2.1 transforma el trabajo original en un pipeline reproducible, auditable y comunicable. El informe final se apoya en 8 KPI protagonistas, 6 visualizaciones principales y 1 análisis avanzado de clustering, dejando la evidencia técnica completa disponible en anexos y tablas de salida.</w:t>
            </w:r>
          </w:p>
        </w:tc>
      </w:tr>
    </w:tbl>
    <w:p/>
    <w:p>
      <w:bookmarkStart w:id="15" w:name="sec_15_Anexo_A_Validaci_n_metodol_gic"/>
      <w:pPr>
        <w:pStyle w:val="Heading1"/>
      </w:pPr>
      <w:r>
        <w:rPr>
          <w:color w:val="000000"/>
          <w:lang w:val="es-AR" w:eastAsia="es-AR" w:bidi="es-AR"/>
        </w:rPr>
        <w:t>Anexo A. Validación metodológica del número de clusters</w:t>
      </w:r>
      <w:bookmarkEnd w:id="15"/>
    </w:p>
    <w:p>
      <w:pPr>
        <w:jc w:val="center"/>
      </w:pPr>
      <w:r>
        <w:rPr>
          <w:color w:val="000000"/>
          <w:lang w:val="es-AR" w:eastAsia="es-AR" w:bidi="es-AR"/>
        </w:rPr>
        <w:drawing>
          <wp:inline xmlns:a="http://schemas.openxmlformats.org/drawingml/2006/main" xmlns:pic="http://schemas.openxmlformats.org/drawingml/2006/picture">
            <wp:extent cx="5616000" cy="3594092"/>
            <wp:docPr id="8" name="Picture 8"/>
            <wp:cNvGraphicFramePr>
              <a:graphicFrameLocks noChangeAspect="1"/>
            </wp:cNvGraphicFramePr>
            <a:graphic>
              <a:graphicData uri="http://schemas.openxmlformats.org/drawingml/2006/picture">
                <pic:pic>
                  <pic:nvPicPr>
                    <pic:cNvPr id="0" name="A01_validacion_numero_clusters.png"/>
                    <pic:cNvPicPr/>
                  </pic:nvPicPr>
                  <pic:blipFill>
                    <a:blip r:embed="rId22"/>
                    <a:stretch>
                      <a:fillRect/>
                    </a:stretch>
                  </pic:blipFill>
                  <pic:spPr>
                    <a:xfrm>
                      <a:off x="0" y="0"/>
                      <a:ext cx="5616000" cy="3594092"/>
                    </a:xfrm>
                    <a:prstGeom prst="rect"/>
                  </pic:spPr>
                </pic:pic>
              </a:graphicData>
            </a:graphic>
          </wp:inline>
        </w:drawing>
      </w:r>
    </w:p>
    <w:p>
      <w:pPr>
        <w:jc w:val="center"/>
      </w:pPr>
      <w:r>
        <w:rPr>
          <w:i/>
          <w:color w:val="000000"/>
          <w:sz w:val="18"/>
          <w:lang w:val="es-AR" w:eastAsia="es-AR" w:bidi="es-AR"/>
        </w:rPr>
        <w:t>Figura A1. Comparación de Silhouette, estabilidad ARI y puntaje compuesto para K=2 a K=6.</w:t>
      </w:r>
    </w:p>
    <w:p>
      <w:r>
        <w:rPr>
          <w:color w:val="000000"/>
          <w:lang w:val="es-AR" w:eastAsia="es-AR" w:bidi="es-AR"/>
        </w:rPr>
        <w:t>El anexo muestra por qué K=3 fue seleccionado. La decisión no surge de una preferencia visual sino de equilibrar separación de los grupos y estabilidad de las asignaciones entre años.</w:t>
      </w:r>
    </w:p>
    <w:p>
      <w:bookmarkStart w:id="16" w:name="sec_16_Anexo_B_Indicadores_protagonis"/>
      <w:pPr>
        <w:pStyle w:val="Heading1"/>
      </w:pPr>
      <w:r>
        <w:rPr>
          <w:color w:val="000000"/>
          <w:lang w:val="es-AR" w:eastAsia="es-AR" w:bidi="es-AR"/>
        </w:rPr>
        <w:t>Anexo B. Indicadores protagonistas</w:t>
      </w:r>
      <w:bookmarkEnd w:id="16"/>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val="1"/>
        </w:trPr>
        <w:tc>
          <w:tcPr>
            <w:tcW w:type="dxa" w:w="3175"/>
            <w:shd w:fill="0B4F59"/>
            <w:vAlign w:val="center"/>
          </w:tcPr>
          <w:p>
            <w:r>
              <w:rPr>
                <w:b/>
                <w:color w:val="000000"/>
                <w:sz w:val="15"/>
                <w:lang w:val="es-AR" w:eastAsia="es-AR" w:bidi="es-AR"/>
              </w:rPr>
              <w:t>Métrica</w:t>
            </w:r>
          </w:p>
        </w:tc>
        <w:tc>
          <w:tcPr>
            <w:tcW w:type="dxa" w:w="1474"/>
            <w:shd w:fill="0B4F59"/>
            <w:vAlign w:val="center"/>
          </w:tcPr>
          <w:p>
            <w:r>
              <w:rPr>
                <w:b/>
                <w:color w:val="000000"/>
                <w:sz w:val="15"/>
                <w:lang w:val="es-AR" w:eastAsia="es-AR" w:bidi="es-AR"/>
              </w:rPr>
              <w:t>Valor</w:t>
            </w:r>
          </w:p>
        </w:tc>
        <w:tc>
          <w:tcPr>
            <w:tcW w:type="dxa" w:w="1417"/>
            <w:shd w:fill="0B4F59"/>
            <w:vAlign w:val="center"/>
          </w:tcPr>
          <w:p>
            <w:r>
              <w:rPr>
                <w:b/>
                <w:color w:val="000000"/>
                <w:sz w:val="15"/>
                <w:lang w:val="es-AR" w:eastAsia="es-AR" w:bidi="es-AR"/>
              </w:rPr>
              <w:t>Unidad</w:t>
            </w:r>
          </w:p>
        </w:tc>
        <w:tc>
          <w:tcPr>
            <w:tcW w:type="dxa" w:w="3118"/>
            <w:shd w:fill="0B4F59"/>
            <w:vAlign w:val="center"/>
          </w:tcPr>
          <w:p>
            <w:r>
              <w:rPr>
                <w:b/>
                <w:color w:val="000000"/>
                <w:sz w:val="15"/>
                <w:lang w:val="es-AR" w:eastAsia="es-AR" w:bidi="es-AR"/>
              </w:rPr>
              <w:t>Detalle</w:t>
            </w:r>
          </w:p>
        </w:tc>
      </w:tr>
      <w:tr>
        <w:trPr>
          <w:cantSplit w:val="1"/>
        </w:trPr>
        <w:tc>
          <w:tcPr>
            <w:tcW w:type="dxa" w:w="3175"/>
            <w:vAlign w:val="center"/>
          </w:tcPr>
          <w:p>
            <w:r>
              <w:rPr>
                <w:sz w:val="15"/>
                <w:color w:val="000000"/>
                <w:lang w:val="es-AR" w:eastAsia="es-AR" w:bidi="es-AR"/>
              </w:rPr>
              <w:t>Demanda nacional 2025</w:t>
            </w:r>
          </w:p>
        </w:tc>
        <w:tc>
          <w:tcPr>
            <w:tcW w:type="dxa" w:w="1474"/>
            <w:vAlign w:val="center"/>
          </w:tcPr>
          <w:p>
            <w:r>
              <w:rPr>
                <w:sz w:val="15"/>
                <w:color w:val="000000"/>
                <w:lang w:val="es-AR" w:eastAsia="es-AR" w:bidi="es-AR"/>
              </w:rPr>
              <w:t>141,25</w:t>
            </w:r>
          </w:p>
        </w:tc>
        <w:tc>
          <w:tcPr>
            <w:tcW w:type="dxa" w:w="1417"/>
            <w:vAlign w:val="center"/>
          </w:tcPr>
          <w:p>
            <w:r>
              <w:rPr>
                <w:sz w:val="15"/>
                <w:color w:val="000000"/>
                <w:lang w:val="es-AR" w:eastAsia="es-AR" w:bidi="es-AR"/>
              </w:rPr>
              <w:t>TWh</w:t>
            </w:r>
          </w:p>
        </w:tc>
        <w:tc>
          <w:tcPr>
            <w:tcW w:type="dxa" w:w="3118"/>
            <w:vAlign w:val="center"/>
          </w:tcPr>
          <w:p>
            <w:r>
              <w:rPr>
                <w:sz w:val="15"/>
                <w:color w:val="000000"/>
                <w:lang w:val="es-AR" w:eastAsia="es-AR" w:bidi="es-AR"/>
              </w:rPr>
              <w:t>Nivel anual de referencia más reciente con año completo.</w:t>
            </w:r>
          </w:p>
        </w:tc>
      </w:tr>
      <w:tr>
        <w:trPr>
          <w:cantSplit w:val="1"/>
        </w:trPr>
        <w:tc>
          <w:tcPr>
            <w:tcW w:type="dxa" w:w="3175"/>
            <w:shd w:fill="F3F6F7"/>
            <w:vAlign w:val="center"/>
          </w:tcPr>
          <w:p>
            <w:r>
              <w:rPr>
                <w:sz w:val="15"/>
                <w:color w:val="000000"/>
                <w:lang w:val="es-AR" w:eastAsia="es-AR" w:bidi="es-AR"/>
              </w:rPr>
              <w:t>Variación nacional 2025 vs 2024</w:t>
            </w:r>
          </w:p>
        </w:tc>
        <w:tc>
          <w:tcPr>
            <w:tcW w:type="dxa" w:w="1474"/>
            <w:shd w:fill="F3F6F7"/>
            <w:vAlign w:val="center"/>
          </w:tcPr>
          <w:p>
            <w:r>
              <w:rPr>
                <w:sz w:val="15"/>
                <w:color w:val="000000"/>
                <w:lang w:val="es-AR" w:eastAsia="es-AR" w:bidi="es-AR"/>
              </w:rPr>
              <w:t>0,74</w:t>
            </w:r>
          </w:p>
        </w:tc>
        <w:tc>
          <w:tcPr>
            <w:tcW w:type="dxa" w:w="1417"/>
            <w:shd w:fill="F3F6F7"/>
            <w:vAlign w:val="center"/>
          </w:tcPr>
          <w:p>
            <w:r>
              <w:rPr>
                <w:sz w:val="15"/>
                <w:color w:val="000000"/>
                <w:lang w:val="es-AR" w:eastAsia="es-AR" w:bidi="es-AR"/>
              </w:rPr>
              <w:t>%</w:t>
            </w:r>
          </w:p>
        </w:tc>
        <w:tc>
          <w:tcPr>
            <w:tcW w:type="dxa" w:w="3118"/>
            <w:shd w:fill="F3F6F7"/>
            <w:vAlign w:val="center"/>
          </w:tcPr>
          <w:p>
            <w:r>
              <w:rPr>
                <w:sz w:val="15"/>
                <w:color w:val="000000"/>
                <w:lang w:val="es-AR" w:eastAsia="es-AR" w:bidi="es-AR"/>
              </w:rPr>
              <w:t>Cambio acumulado 2023-2025: 0.26%.</w:t>
            </w:r>
          </w:p>
        </w:tc>
      </w:tr>
      <w:tr>
        <w:trPr>
          <w:cantSplit w:val="1"/>
        </w:trPr>
        <w:tc>
          <w:tcPr>
            <w:tcW w:type="dxa" w:w="3175"/>
            <w:vAlign w:val="center"/>
          </w:tcPr>
          <w:p>
            <w:r>
              <w:rPr>
                <w:sz w:val="15"/>
                <w:color w:val="000000"/>
                <w:lang w:val="es-AR" w:eastAsia="es-AR" w:bidi="es-AR"/>
              </w:rPr>
              <w:t>Concentración Top 5 provincial 2025</w:t>
            </w:r>
          </w:p>
        </w:tc>
        <w:tc>
          <w:tcPr>
            <w:tcW w:type="dxa" w:w="1474"/>
            <w:vAlign w:val="center"/>
          </w:tcPr>
          <w:p>
            <w:r>
              <w:rPr>
                <w:sz w:val="15"/>
                <w:color w:val="000000"/>
                <w:lang w:val="es-AR" w:eastAsia="es-AR" w:bidi="es-AR"/>
              </w:rPr>
              <w:t>73,49</w:t>
            </w:r>
          </w:p>
        </w:tc>
        <w:tc>
          <w:tcPr>
            <w:tcW w:type="dxa" w:w="1417"/>
            <w:vAlign w:val="center"/>
          </w:tcPr>
          <w:p>
            <w:r>
              <w:rPr>
                <w:sz w:val="15"/>
                <w:color w:val="000000"/>
                <w:lang w:val="es-AR" w:eastAsia="es-AR" w:bidi="es-AR"/>
              </w:rPr>
              <w:t>%</w:t>
            </w:r>
          </w:p>
        </w:tc>
        <w:tc>
          <w:tcPr>
            <w:tcW w:type="dxa" w:w="3118"/>
            <w:vAlign w:val="center"/>
          </w:tcPr>
          <w:p>
            <w:r>
              <w:rPr>
                <w:sz w:val="15"/>
                <w:color w:val="000000"/>
                <w:lang w:val="es-AR" w:eastAsia="es-AR" w:bidi="es-AR"/>
              </w:rPr>
              <w:t>Participación conjunta de las cinco provincias de mayor demanda.</w:t>
            </w:r>
          </w:p>
        </w:tc>
      </w:tr>
      <w:tr>
        <w:trPr>
          <w:cantSplit w:val="1"/>
        </w:trPr>
        <w:tc>
          <w:tcPr>
            <w:tcW w:type="dxa" w:w="3175"/>
            <w:shd w:fill="F3F6F7"/>
            <w:vAlign w:val="center"/>
          </w:tcPr>
          <w:p>
            <w:r>
              <w:rPr>
                <w:sz w:val="15"/>
                <w:color w:val="000000"/>
                <w:lang w:val="es-AR" w:eastAsia="es-AR" w:bidi="es-AR"/>
              </w:rPr>
              <w:t>Heterogeneidad provincial 2023-2025</w:t>
            </w:r>
          </w:p>
        </w:tc>
        <w:tc>
          <w:tcPr>
            <w:tcW w:type="dxa" w:w="1474"/>
            <w:shd w:fill="F3F6F7"/>
            <w:vAlign w:val="center"/>
          </w:tcPr>
          <w:p>
            <w:r>
              <w:rPr>
                <w:sz w:val="15"/>
                <w:color w:val="000000"/>
                <w:lang w:val="es-AR" w:eastAsia="es-AR" w:bidi="es-AR"/>
              </w:rPr>
              <w:t>19,79</w:t>
            </w:r>
          </w:p>
        </w:tc>
        <w:tc>
          <w:tcPr>
            <w:tcW w:type="dxa" w:w="1417"/>
            <w:shd w:fill="F3F6F7"/>
            <w:vAlign w:val="center"/>
          </w:tcPr>
          <w:p>
            <w:r>
              <w:rPr>
                <w:sz w:val="15"/>
                <w:color w:val="000000"/>
                <w:lang w:val="es-AR" w:eastAsia="es-AR" w:bidi="es-AR"/>
              </w:rPr>
              <w:t>p.p.</w:t>
            </w:r>
          </w:p>
        </w:tc>
        <w:tc>
          <w:tcPr>
            <w:tcW w:type="dxa" w:w="3118"/>
            <w:shd w:fill="F3F6F7"/>
            <w:vAlign w:val="center"/>
          </w:tcPr>
          <w:p>
            <w:r>
              <w:rPr>
                <w:sz w:val="15"/>
                <w:color w:val="000000"/>
                <w:lang w:val="es-AR" w:eastAsia="es-AR" w:bidi="es-AR"/>
              </w:rPr>
              <w:t>Mayor crecimiento: CHUBUT 15.99%; mayor caída: JUJUY -3.80%.</w:t>
            </w:r>
          </w:p>
        </w:tc>
      </w:tr>
      <w:tr>
        <w:trPr>
          <w:cantSplit w:val="1"/>
        </w:trPr>
        <w:tc>
          <w:tcPr>
            <w:tcW w:type="dxa" w:w="3175"/>
            <w:vAlign w:val="center"/>
          </w:tcPr>
          <w:p>
            <w:r>
              <w:rPr>
                <w:sz w:val="15"/>
                <w:color w:val="000000"/>
                <w:lang w:val="es-AR" w:eastAsia="es-AR" w:bidi="es-AR"/>
              </w:rPr>
              <w:t>Reducción media en días no hábiles (2023-2025)</w:t>
            </w:r>
          </w:p>
        </w:tc>
        <w:tc>
          <w:tcPr>
            <w:tcW w:type="dxa" w:w="1474"/>
            <w:vAlign w:val="center"/>
          </w:tcPr>
          <w:p>
            <w:r>
              <w:rPr>
                <w:sz w:val="15"/>
                <w:color w:val="000000"/>
                <w:lang w:val="es-AR" w:eastAsia="es-AR" w:bidi="es-AR"/>
              </w:rPr>
              <w:t>11,58</w:t>
            </w:r>
          </w:p>
        </w:tc>
        <w:tc>
          <w:tcPr>
            <w:tcW w:type="dxa" w:w="1417"/>
            <w:vAlign w:val="center"/>
          </w:tcPr>
          <w:p>
            <w:r>
              <w:rPr>
                <w:sz w:val="15"/>
                <w:color w:val="000000"/>
                <w:lang w:val="es-AR" w:eastAsia="es-AR" w:bidi="es-AR"/>
              </w:rPr>
              <w:t>%</w:t>
            </w:r>
          </w:p>
        </w:tc>
        <w:tc>
          <w:tcPr>
            <w:tcW w:type="dxa" w:w="3118"/>
            <w:vAlign w:val="center"/>
          </w:tcPr>
          <w:p>
            <w:r>
              <w:rPr>
                <w:sz w:val="15"/>
                <w:color w:val="000000"/>
                <w:lang w:val="es-AR" w:eastAsia="es-AR" w:bidi="es-AR"/>
              </w:rPr>
              <w:t>Diferencia media respecto de los días hábiles; patrón estable entre años.</w:t>
            </w:r>
          </w:p>
        </w:tc>
      </w:tr>
      <w:tr>
        <w:trPr>
          <w:cantSplit w:val="1"/>
        </w:trPr>
        <w:tc>
          <w:tcPr>
            <w:tcW w:type="dxa" w:w="3175"/>
            <w:shd w:fill="F3F6F7"/>
            <w:vAlign w:val="center"/>
          </w:tcPr>
          <w:p>
            <w:r>
              <w:rPr>
                <w:sz w:val="15"/>
                <w:color w:val="000000"/>
                <w:lang w:val="es-AR" w:eastAsia="es-AR" w:bidi="es-AR"/>
              </w:rPr>
              <w:t>Amplitud del perfil horario medio</w:t>
            </w:r>
          </w:p>
        </w:tc>
        <w:tc>
          <w:tcPr>
            <w:tcW w:type="dxa" w:w="1474"/>
            <w:shd w:fill="F3F6F7"/>
            <w:vAlign w:val="center"/>
          </w:tcPr>
          <w:p>
            <w:r>
              <w:rPr>
                <w:sz w:val="15"/>
                <w:color w:val="000000"/>
                <w:lang w:val="es-AR" w:eastAsia="es-AR" w:bidi="es-AR"/>
              </w:rPr>
              <w:t>37,85</w:t>
            </w:r>
          </w:p>
        </w:tc>
        <w:tc>
          <w:tcPr>
            <w:tcW w:type="dxa" w:w="1417"/>
            <w:shd w:fill="F3F6F7"/>
            <w:vAlign w:val="center"/>
          </w:tcPr>
          <w:p>
            <w:r>
              <w:rPr>
                <w:sz w:val="15"/>
                <w:color w:val="000000"/>
                <w:lang w:val="es-AR" w:eastAsia="es-AR" w:bidi="es-AR"/>
              </w:rPr>
              <w:t>%</w:t>
            </w:r>
          </w:p>
        </w:tc>
        <w:tc>
          <w:tcPr>
            <w:tcW w:type="dxa" w:w="3118"/>
            <w:shd w:fill="F3F6F7"/>
            <w:vAlign w:val="center"/>
          </w:tcPr>
          <w:p>
            <w:r>
              <w:rPr>
                <w:sz w:val="15"/>
                <w:color w:val="000000"/>
                <w:lang w:val="es-AR" w:eastAsia="es-AR" w:bidi="es-AR"/>
              </w:rPr>
              <w:t>Valle medio 05:00; pico medio 22:00.</w:t>
            </w:r>
          </w:p>
        </w:tc>
      </w:tr>
      <w:tr>
        <w:trPr>
          <w:cantSplit w:val="1"/>
        </w:trPr>
        <w:tc>
          <w:tcPr>
            <w:tcW w:type="dxa" w:w="3175"/>
            <w:vAlign w:val="center"/>
          </w:tcPr>
          <w:p>
            <w:r>
              <w:rPr>
                <w:sz w:val="15"/>
                <w:color w:val="000000"/>
                <w:lang w:val="es-AR" w:eastAsia="es-AR" w:bidi="es-AR"/>
              </w:rPr>
              <w:t>Pico horario absoluto observado</w:t>
            </w:r>
          </w:p>
        </w:tc>
        <w:tc>
          <w:tcPr>
            <w:tcW w:type="dxa" w:w="1474"/>
            <w:vAlign w:val="center"/>
          </w:tcPr>
          <w:p>
            <w:r>
              <w:rPr>
                <w:sz w:val="15"/>
                <w:color w:val="000000"/>
                <w:lang w:val="es-AR" w:eastAsia="es-AR" w:bidi="es-AR"/>
              </w:rPr>
              <w:t>28.094,06</w:t>
            </w:r>
          </w:p>
        </w:tc>
        <w:tc>
          <w:tcPr>
            <w:tcW w:type="dxa" w:w="1417"/>
            <w:vAlign w:val="center"/>
          </w:tcPr>
          <w:p>
            <w:r>
              <w:rPr>
                <w:sz w:val="15"/>
                <w:color w:val="000000"/>
                <w:lang w:val="es-AR" w:eastAsia="es-AR" w:bidi="es-AR"/>
              </w:rPr>
              <w:t>MWh</w:t>
            </w:r>
          </w:p>
        </w:tc>
        <w:tc>
          <w:tcPr>
            <w:tcW w:type="dxa" w:w="3118"/>
            <w:vAlign w:val="center"/>
          </w:tcPr>
          <w:p>
            <w:r>
              <w:rPr>
                <w:sz w:val="15"/>
                <w:color w:val="000000"/>
                <w:lang w:val="es-AR" w:eastAsia="es-AR" w:bidi="es-AR"/>
              </w:rPr>
              <w:t>2025-02-10 a las 16:00.</w:t>
            </w:r>
          </w:p>
        </w:tc>
      </w:tr>
      <w:tr>
        <w:trPr>
          <w:cantSplit w:val="1"/>
        </w:trPr>
        <w:tc>
          <w:tcPr>
            <w:tcW w:type="dxa" w:w="3175"/>
            <w:shd w:fill="F3F6F7"/>
            <w:vAlign w:val="center"/>
          </w:tcPr>
          <w:p>
            <w:r>
              <w:rPr>
                <w:sz w:val="15"/>
                <w:color w:val="000000"/>
                <w:lang w:val="es-AR" w:eastAsia="es-AR" w:bidi="es-AR"/>
              </w:rPr>
              <w:t>Pronóstico — robustez fuera de muestra</w:t>
            </w:r>
          </w:p>
        </w:tc>
        <w:tc>
          <w:tcPr>
            <w:tcW w:type="dxa" w:w="1474"/>
            <w:shd w:fill="F3F6F7"/>
            <w:vAlign w:val="center"/>
          </w:tcPr>
          <w:p>
            <w:r>
              <w:rPr>
                <w:sz w:val="15"/>
                <w:color w:val="000000"/>
                <w:lang w:val="es-AR" w:eastAsia="es-AR" w:bidi="es-AR"/>
              </w:rPr>
              <w:t>6,42</w:t>
            </w:r>
          </w:p>
        </w:tc>
        <w:tc>
          <w:tcPr>
            <w:tcW w:type="dxa" w:w="1417"/>
            <w:shd w:fill="F3F6F7"/>
            <w:vAlign w:val="center"/>
          </w:tcPr>
          <w:p>
            <w:r>
              <w:rPr>
                <w:sz w:val="15"/>
                <w:color w:val="000000"/>
                <w:lang w:val="es-AR" w:eastAsia="es-AR" w:bidi="es-AR"/>
              </w:rPr>
              <w:t>WAPE %</w:t>
            </w:r>
          </w:p>
        </w:tc>
        <w:tc>
          <w:tcPr>
            <w:tcW w:type="dxa" w:w="3118"/>
            <w:shd w:fill="F3F6F7"/>
            <w:vAlign w:val="center"/>
          </w:tcPr>
          <w:p>
            <w:r>
              <w:rPr>
                <w:sz w:val="15"/>
                <w:color w:val="000000"/>
                <w:lang w:val="es-AR" w:eastAsia="es-AR" w:bidi="es-AR"/>
              </w:rPr>
              <w:t>Modelo más robusto: ETS. En el holdout 2026 el mejor fue XGBoost con 4.63% WAPE.</w:t>
            </w:r>
          </w:p>
        </w:tc>
      </w:tr>
    </w:tbl>
    <w:p>
      <w:bookmarkStart w:id="17" w:name="sec_17_Anexo_C_Criterios_de_presentac"/>
      <w:pPr>
        <w:pStyle w:val="Heading1"/>
      </w:pPr>
      <w:r>
        <w:rPr>
          <w:color w:val="000000"/>
          <w:lang w:val="es-AR" w:eastAsia="es-AR" w:bidi="es-AR"/>
        </w:rPr>
        <w:t>Anexo C. Criterios de presentación</w:t>
      </w:r>
      <w:bookmarkEnd w:id="17"/>
    </w:p>
    <w:p>
      <w:r>
        <w:rPr>
          <w:color w:val="000000"/>
          <w:lang w:val="es-AR" w:eastAsia="es-AR" w:bidi="es-AR"/>
        </w:rPr>
        <w:t>El proyecto original generaba más de cien visualizaciones exploratorias. Esas salidas pueden ser útiles durante el análisis, pero no deben confundirse con el producto final. La versión final conserva seis gráficos principales porque cada uno responde una pregunta diferente: concentración territorial, variación provincial, estacionalidad mensual, perfil horario/tipo de día, error de pronóstico y comparación real-pronosticado. El clustering se mantiene como análisis avanzado y su validación pasa a anexo metodológico.</w:t>
      </w:r>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lang w:val="es-AR" w:eastAsia="es-AR" w:bidi="es-AR"/>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lang w:val="es-AR" w:eastAsia="es-AR" w:bidi="es-AR"/>
      </w:rPr>
      <w:t>CAMMESA · Demanda eléctrica provincial · Informe analítico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s-AR" w:eastAsia="es-AR" w:bidi="es-A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AR" w:eastAsia="es-AR" w:bidi="es-AR"/>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color w:val="000000"/>
      <w:lang w:val="es-AR" w:eastAsia="es-AR" w:bidi="es-A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lang w:val="es-AR" w:eastAsia="es-AR" w:bidi="es-AR"/>
    </w:rPr>
  </w:style>
  <w:style w:type="character" w:customStyle="1" w:styleId="HeaderChar">
    <w:name w:val="Header Char"/>
    <w:basedOn w:val="DefaultParagraphFont"/>
    <w:link w:val="Header"/>
    <w:uiPriority w:val="99"/>
    <w:rsid w:val="00E618BF"/>
    <w:rPr>
      <w:color w:val="000000"/>
      <w:lang w:val="es-AR" w:eastAsia="es-AR" w:bidi="es-A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lang w:val="es-AR" w:eastAsia="es-AR" w:bidi="es-AR"/>
    </w:rPr>
  </w:style>
  <w:style w:type="character" w:customStyle="1" w:styleId="FooterChar">
    <w:name w:val="Footer Char"/>
    <w:basedOn w:val="DefaultParagraphFont"/>
    <w:link w:val="Footer"/>
    <w:uiPriority w:val="99"/>
    <w:rsid w:val="00E618BF"/>
    <w:rPr>
      <w:color w:val="000000"/>
      <w:lang w:val="es-AR" w:eastAsia="es-AR" w:bidi="es-AR"/>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8"/>
      <w:szCs w:val="28"/>
      <w:lang w:val="es-AR" w:eastAsia="es-AR" w:bidi="es-AR"/>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lang w:val="es-AR" w:eastAsia="es-AR" w:bidi="es-A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3"/>
      <w:lang w:val="es-AR" w:eastAsia="es-AR" w:bidi="es-A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lang w:val="es-AR" w:eastAsia="es-AR" w:bidi="es-A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lang w:val="es-AR" w:eastAsia="es-AR" w:bidi="es-A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lang w:val="es-AR" w:eastAsia="es-AR" w:bidi="es-A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lang w:val="es-AR" w:eastAsia="es-AR" w:bidi="es-A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lang w:val="es-AR" w:eastAsia="es-AR" w:bidi="es-A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lang w:val="es-AR" w:eastAsia="es-AR" w:bidi="es-AR"/>
    </w:rPr>
  </w:style>
  <w:style w:type="character" w:default="1" w:styleId="DefaultParagraphFont">
    <w:name w:val="Default Paragraph Font"/>
    <w:uiPriority w:val="1"/>
    <w:semiHidden/>
    <w:unhideWhenUsed/>
    <w:rPr>
      <w:color w:val="000000"/>
      <w:lang w:val="es-AR" w:eastAsia="es-AR" w:bidi="es-AR"/>
    </w:rPr>
  </w:style>
  <w:style w:type="table" w:default="1" w:styleId="TableNormal">
    <w:name w:val="Normal Table"/>
    <w:uiPriority w:val="99"/>
    <w:semiHidden/>
    <w:unhideWhenUsed/>
    <w:tblPr>
      <w:tblInd w:w="0" w:type="dxa"/>
      <w:tblCellMar>
        <w:top w:w="0" w:type="dxa"/>
        <w:left w:w="108" w:type="dxa"/>
        <w:bottom w:w="0" w:type="dxa"/>
        <w:right w:w="108" w:type="dxa"/>
      </w:tblCellMar>
    </w:tblPr>
    <w:rPr>
      <w:color w:val="000000"/>
      <w:lang w:val="es-AR" w:eastAsia="es-AR" w:bidi="es-AR"/>
    </w:rPr>
  </w:style>
  <w:style w:type="numbering" w:default="1" w:styleId="NoList">
    <w:name w:val="No List"/>
    <w:uiPriority w:val="99"/>
    <w:semiHidden/>
    <w:unhideWhenUsed/>
    <w:rPr>
      <w:color w:val="000000"/>
      <w:lang w:val="es-AR" w:eastAsia="es-AR" w:bidi="es-AR"/>
    </w:rPr>
  </w:style>
  <w:style w:type="paragraph" w:styleId="NoSpacing">
    <w:name w:val="No Spacing"/>
    <w:uiPriority w:val="1"/>
    <w:qFormat/>
    <w:rsid w:val="00FC693F"/>
    <w:pPr>
      <w:spacing w:after="0" w:line="240" w:lineRule="auto"/>
    </w:pPr>
    <w:rPr>
      <w:color w:val="000000"/>
      <w:lang w:val="es-AR" w:eastAsia="es-AR" w:bidi="es-A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lang w:val="es-AR" w:eastAsia="es-AR" w:bidi="es-A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lang w:val="es-AR" w:eastAsia="es-AR" w:bidi="es-A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lang w:val="es-AR" w:eastAsia="es-AR" w:bidi="es-A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lang w:val="es-AR" w:eastAsia="es-AR" w:bidi="es-A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lang w:val="es-AR" w:eastAsia="es-AR" w:bidi="es-A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lang w:val="es-AR" w:eastAsia="es-AR" w:bidi="es-A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lang w:val="es-AR" w:eastAsia="es-AR" w:bidi="es-AR"/>
    </w:rPr>
  </w:style>
  <w:style w:type="paragraph" w:styleId="ListParagraph">
    <w:name w:val="List Paragraph"/>
    <w:basedOn w:val="Normal"/>
    <w:uiPriority w:val="34"/>
    <w:qFormat/>
    <w:rsid w:val="00FC693F"/>
    <w:pPr>
      <w:ind w:left="720"/>
      <w:contextualSpacing/>
    </w:pPr>
    <w:rPr>
      <w:color w:val="000000"/>
      <w:lang w:val="es-AR" w:eastAsia="es-AR" w:bidi="es-AR"/>
    </w:rPr>
  </w:style>
  <w:style w:type="paragraph" w:styleId="BodyText">
    <w:name w:val="Body Text"/>
    <w:basedOn w:val="Normal"/>
    <w:link w:val="BodyTextChar"/>
    <w:uiPriority w:val="99"/>
    <w:unhideWhenUsed/>
    <w:rsid w:val="00AA1D8D"/>
    <w:pPr>
      <w:spacing w:after="120"/>
    </w:pPr>
    <w:rPr>
      <w:color w:val="000000"/>
      <w:lang w:val="es-AR" w:eastAsia="es-AR" w:bidi="es-AR"/>
    </w:rPr>
  </w:style>
  <w:style w:type="character" w:customStyle="1" w:styleId="BodyTextChar">
    <w:name w:val="Body Text Char"/>
    <w:basedOn w:val="DefaultParagraphFont"/>
    <w:link w:val="BodyText"/>
    <w:uiPriority w:val="99"/>
    <w:rsid w:val="00AA1D8D"/>
    <w:rPr>
      <w:color w:val="000000"/>
      <w:lang w:val="es-AR" w:eastAsia="es-AR" w:bidi="es-AR"/>
    </w:rPr>
  </w:style>
  <w:style w:type="paragraph" w:styleId="BodyText2">
    <w:name w:val="Body Text 2"/>
    <w:basedOn w:val="Normal"/>
    <w:link w:val="BodyText2Char"/>
    <w:uiPriority w:val="99"/>
    <w:unhideWhenUsed/>
    <w:rsid w:val="00AA1D8D"/>
    <w:pPr>
      <w:spacing w:after="120" w:line="480" w:lineRule="auto"/>
    </w:pPr>
    <w:rPr>
      <w:color w:val="000000"/>
      <w:lang w:val="es-AR" w:eastAsia="es-AR" w:bidi="es-AR"/>
    </w:rPr>
  </w:style>
  <w:style w:type="character" w:customStyle="1" w:styleId="BodyText2Char">
    <w:name w:val="Body Text 2 Char"/>
    <w:basedOn w:val="DefaultParagraphFont"/>
    <w:link w:val="BodyText2"/>
    <w:uiPriority w:val="99"/>
    <w:rsid w:val="00AA1D8D"/>
    <w:rPr>
      <w:color w:val="000000"/>
      <w:lang w:val="es-AR" w:eastAsia="es-AR" w:bidi="es-AR"/>
    </w:rPr>
  </w:style>
  <w:style w:type="paragraph" w:styleId="BodyText3">
    <w:name w:val="Body Text 3"/>
    <w:basedOn w:val="Normal"/>
    <w:link w:val="BodyText3Char"/>
    <w:uiPriority w:val="99"/>
    <w:unhideWhenUsed/>
    <w:rsid w:val="00AA1D8D"/>
    <w:pPr>
      <w:spacing w:after="120"/>
    </w:pPr>
    <w:rPr>
      <w:sz w:val="16"/>
      <w:szCs w:val="16"/>
      <w:color w:val="000000"/>
      <w:lang w:val="es-AR" w:eastAsia="es-AR" w:bidi="es-AR"/>
    </w:rPr>
  </w:style>
  <w:style w:type="character" w:customStyle="1" w:styleId="BodyText3Char">
    <w:name w:val="Body Text 3 Char"/>
    <w:basedOn w:val="DefaultParagraphFont"/>
    <w:link w:val="BodyText3"/>
    <w:uiPriority w:val="99"/>
    <w:rsid w:val="00AA1D8D"/>
    <w:rPr>
      <w:sz w:val="16"/>
      <w:szCs w:val="16"/>
      <w:color w:val="000000"/>
      <w:lang w:val="es-AR" w:eastAsia="es-AR" w:bidi="es-AR"/>
    </w:rPr>
  </w:style>
  <w:style w:type="paragraph" w:styleId="List">
    <w:name w:val="List"/>
    <w:basedOn w:val="Normal"/>
    <w:uiPriority w:val="99"/>
    <w:unhideWhenUsed/>
    <w:rsid w:val="00AA1D8D"/>
    <w:pPr>
      <w:ind w:left="360" w:hanging="360"/>
      <w:contextualSpacing/>
    </w:pPr>
    <w:rPr>
      <w:color w:val="000000"/>
      <w:lang w:val="es-AR" w:eastAsia="es-AR" w:bidi="es-AR"/>
    </w:rPr>
  </w:style>
  <w:style w:type="paragraph" w:styleId="List2">
    <w:name w:val="List 2"/>
    <w:basedOn w:val="Normal"/>
    <w:uiPriority w:val="99"/>
    <w:unhideWhenUsed/>
    <w:rsid w:val="00326F90"/>
    <w:pPr>
      <w:ind w:left="720" w:hanging="360"/>
      <w:contextualSpacing/>
    </w:pPr>
    <w:rPr>
      <w:color w:val="000000"/>
      <w:lang w:val="es-AR" w:eastAsia="es-AR" w:bidi="es-AR"/>
    </w:rPr>
  </w:style>
  <w:style w:type="paragraph" w:styleId="List3">
    <w:name w:val="List 3"/>
    <w:basedOn w:val="Normal"/>
    <w:uiPriority w:val="99"/>
    <w:unhideWhenUsed/>
    <w:rsid w:val="00326F90"/>
    <w:pPr>
      <w:ind w:left="1080" w:hanging="360"/>
      <w:contextualSpacing/>
    </w:pPr>
    <w:rPr>
      <w:color w:val="000000"/>
      <w:lang w:val="es-AR" w:eastAsia="es-AR" w:bidi="es-AR"/>
    </w:rPr>
  </w:style>
  <w:style w:type="paragraph" w:styleId="ListBullet">
    <w:name w:val="List Bullet"/>
    <w:basedOn w:val="Normal"/>
    <w:uiPriority w:val="99"/>
    <w:unhideWhenUsed/>
    <w:rsid w:val="00326F90"/>
    <w:pPr>
      <w:numPr>
        <w:numId w:val="1"/>
      </w:numPr>
      <w:contextualSpacing/>
    </w:pPr>
    <w:rPr>
      <w:color w:val="000000"/>
      <w:lang w:val="es-AR" w:eastAsia="es-AR" w:bidi="es-AR"/>
    </w:rPr>
  </w:style>
  <w:style w:type="paragraph" w:styleId="ListBullet2">
    <w:name w:val="List Bullet 2"/>
    <w:basedOn w:val="Normal"/>
    <w:uiPriority w:val="99"/>
    <w:unhideWhenUsed/>
    <w:rsid w:val="00326F90"/>
    <w:pPr>
      <w:numPr>
        <w:numId w:val="2"/>
      </w:numPr>
      <w:contextualSpacing/>
    </w:pPr>
    <w:rPr>
      <w:color w:val="000000"/>
      <w:lang w:val="es-AR" w:eastAsia="es-AR" w:bidi="es-AR"/>
    </w:rPr>
  </w:style>
  <w:style w:type="paragraph" w:styleId="ListBullet3">
    <w:name w:val="List Bullet 3"/>
    <w:basedOn w:val="Normal"/>
    <w:uiPriority w:val="99"/>
    <w:unhideWhenUsed/>
    <w:rsid w:val="00326F90"/>
    <w:pPr>
      <w:numPr>
        <w:numId w:val="3"/>
      </w:numPr>
      <w:contextualSpacing/>
    </w:pPr>
    <w:rPr>
      <w:color w:val="000000"/>
      <w:lang w:val="es-AR" w:eastAsia="es-AR" w:bidi="es-AR"/>
    </w:rPr>
  </w:style>
  <w:style w:type="paragraph" w:styleId="ListNumber">
    <w:name w:val="List Number"/>
    <w:basedOn w:val="Normal"/>
    <w:uiPriority w:val="99"/>
    <w:unhideWhenUsed/>
    <w:rsid w:val="00326F90"/>
    <w:pPr>
      <w:numPr>
        <w:numId w:val="5"/>
      </w:numPr>
      <w:contextualSpacing/>
    </w:pPr>
    <w:rPr>
      <w:color w:val="000000"/>
      <w:lang w:val="es-AR" w:eastAsia="es-AR" w:bidi="es-AR"/>
    </w:rPr>
  </w:style>
  <w:style w:type="paragraph" w:styleId="ListNumber2">
    <w:name w:val="List Number 2"/>
    <w:basedOn w:val="Normal"/>
    <w:uiPriority w:val="99"/>
    <w:unhideWhenUsed/>
    <w:rsid w:val="0029639D"/>
    <w:pPr>
      <w:numPr>
        <w:numId w:val="6"/>
      </w:numPr>
      <w:contextualSpacing/>
    </w:pPr>
    <w:rPr>
      <w:color w:val="000000"/>
      <w:lang w:val="es-AR" w:eastAsia="es-AR" w:bidi="es-AR"/>
    </w:rPr>
  </w:style>
  <w:style w:type="paragraph" w:styleId="ListNumber3">
    <w:name w:val="List Number 3"/>
    <w:basedOn w:val="Normal"/>
    <w:uiPriority w:val="99"/>
    <w:unhideWhenUsed/>
    <w:rsid w:val="0029639D"/>
    <w:pPr>
      <w:numPr>
        <w:numId w:val="7"/>
      </w:numPr>
      <w:contextualSpacing/>
    </w:pPr>
    <w:rPr>
      <w:color w:val="000000"/>
      <w:lang w:val="es-AR" w:eastAsia="es-AR" w:bidi="es-AR"/>
    </w:rPr>
  </w:style>
  <w:style w:type="paragraph" w:styleId="ListContinue">
    <w:name w:val="List Continue"/>
    <w:basedOn w:val="Normal"/>
    <w:uiPriority w:val="99"/>
    <w:unhideWhenUsed/>
    <w:rsid w:val="0029639D"/>
    <w:pPr>
      <w:spacing w:after="120"/>
      <w:ind w:left="360"/>
      <w:contextualSpacing/>
    </w:pPr>
    <w:rPr>
      <w:color w:val="000000"/>
      <w:lang w:val="es-AR" w:eastAsia="es-AR" w:bidi="es-AR"/>
    </w:rPr>
  </w:style>
  <w:style w:type="paragraph" w:styleId="ListContinue2">
    <w:name w:val="List Continue 2"/>
    <w:basedOn w:val="Normal"/>
    <w:uiPriority w:val="99"/>
    <w:unhideWhenUsed/>
    <w:rsid w:val="0029639D"/>
    <w:pPr>
      <w:spacing w:after="120"/>
      <w:ind w:left="720"/>
      <w:contextualSpacing/>
    </w:pPr>
    <w:rPr>
      <w:color w:val="000000"/>
      <w:lang w:val="es-AR" w:eastAsia="es-AR" w:bidi="es-AR"/>
    </w:rPr>
  </w:style>
  <w:style w:type="paragraph" w:styleId="ListContinue3">
    <w:name w:val="List Continue 3"/>
    <w:basedOn w:val="Normal"/>
    <w:uiPriority w:val="99"/>
    <w:unhideWhenUsed/>
    <w:rsid w:val="0029639D"/>
    <w:pPr>
      <w:spacing w:after="120"/>
      <w:ind w:left="1080"/>
      <w:contextualSpacing/>
    </w:pPr>
    <w:rPr>
      <w:color w:val="000000"/>
      <w:lang w:val="es-AR" w:eastAsia="es-AR" w:bidi="es-A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color w:val="000000"/>
      <w:lang w:val="es-AR" w:eastAsia="es-AR" w:bidi="es-AR"/>
    </w:rPr>
  </w:style>
  <w:style w:type="character" w:customStyle="1" w:styleId="MacroTextChar">
    <w:name w:val="Macro Text Char"/>
    <w:basedOn w:val="DefaultParagraphFont"/>
    <w:link w:val="MacroText"/>
    <w:uiPriority w:val="99"/>
    <w:rsid w:val="0029639D"/>
    <w:rPr>
      <w:rFonts w:ascii="Courier" w:hAnsi="Courier"/>
      <w:sz w:val="20"/>
      <w:szCs w:val="20"/>
      <w:color w:val="000000"/>
      <w:lang w:val="es-AR" w:eastAsia="es-AR" w:bidi="es-AR"/>
    </w:rPr>
  </w:style>
  <w:style w:type="paragraph" w:styleId="Quote">
    <w:name w:val="Quote"/>
    <w:basedOn w:val="Normal"/>
    <w:next w:val="Normal"/>
    <w:link w:val="QuoteChar"/>
    <w:uiPriority w:val="29"/>
    <w:qFormat/>
    <w:rsid w:val="00FC693F"/>
    <w:rPr>
      <w:i/>
      <w:iCs/>
      <w:color w:val="000000"/>
      <w:lang w:val="es-AR" w:eastAsia="es-AR" w:bidi="es-AR"/>
    </w:rPr>
  </w:style>
  <w:style w:type="character" w:customStyle="1" w:styleId="QuoteChar">
    <w:name w:val="Quote Char"/>
    <w:basedOn w:val="DefaultParagraphFont"/>
    <w:link w:val="Quote"/>
    <w:uiPriority w:val="29"/>
    <w:rsid w:val="00FC693F"/>
    <w:rPr>
      <w:i/>
      <w:iCs/>
      <w:color w:val="000000"/>
      <w:lang w:val="es-AR" w:eastAsia="es-AR" w:bidi="es-A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lang w:val="es-AR" w:eastAsia="es-AR" w:bidi="es-A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lang w:val="es-AR" w:eastAsia="es-AR" w:bidi="es-A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lang w:val="es-AR" w:eastAsia="es-AR" w:bidi="es-A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lang w:val="es-AR" w:eastAsia="es-AR" w:bidi="es-A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lang w:val="es-AR" w:eastAsia="es-AR" w:bidi="es-A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lang w:val="es-AR" w:eastAsia="es-AR" w:bidi="es-AR"/>
    </w:rPr>
  </w:style>
  <w:style w:type="paragraph" w:styleId="Caption">
    <w:name w:val="caption"/>
    <w:basedOn w:val="Normal"/>
    <w:next w:val="Normal"/>
    <w:uiPriority w:val="35"/>
    <w:semiHidden/>
    <w:unhideWhenUsed/>
    <w:qFormat/>
    <w:rsid w:val="00FC693F"/>
    <w:pPr>
      <w:spacing w:line="240" w:lineRule="auto"/>
    </w:pPr>
    <w:rPr>
      <w:b/>
      <w:bCs/>
      <w:color w:val="000000"/>
      <w:sz w:val="18"/>
      <w:szCs w:val="18"/>
      <w:lang w:val="es-AR" w:eastAsia="es-AR" w:bidi="es-AR"/>
    </w:rPr>
  </w:style>
  <w:style w:type="character" w:styleId="Strong">
    <w:name w:val="Strong"/>
    <w:basedOn w:val="DefaultParagraphFont"/>
    <w:uiPriority w:val="22"/>
    <w:qFormat/>
    <w:rsid w:val="00FC693F"/>
    <w:rPr>
      <w:b/>
      <w:bCs/>
      <w:color w:val="000000"/>
      <w:lang w:val="es-AR" w:eastAsia="es-AR" w:bidi="es-AR"/>
    </w:rPr>
  </w:style>
  <w:style w:type="character" w:styleId="Emphasis">
    <w:name w:val="Emphasis"/>
    <w:basedOn w:val="DefaultParagraphFont"/>
    <w:uiPriority w:val="20"/>
    <w:qFormat/>
    <w:rsid w:val="00FC693F"/>
    <w:rPr>
      <w:i/>
      <w:iCs/>
      <w:color w:val="000000"/>
      <w:lang w:val="es-AR" w:eastAsia="es-AR" w:bidi="es-A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lang w:val="es-AR" w:eastAsia="es-AR" w:bidi="es-AR"/>
    </w:rPr>
  </w:style>
  <w:style w:type="character" w:customStyle="1" w:styleId="IntenseQuoteChar">
    <w:name w:val="Intense Quote Char"/>
    <w:basedOn w:val="DefaultParagraphFont"/>
    <w:link w:val="IntenseQuote"/>
    <w:uiPriority w:val="30"/>
    <w:rsid w:val="00FC693F"/>
    <w:rPr>
      <w:b/>
      <w:bCs/>
      <w:i/>
      <w:iCs/>
      <w:color w:val="000000"/>
      <w:lang w:val="es-AR" w:eastAsia="es-AR" w:bidi="es-AR"/>
    </w:rPr>
  </w:style>
  <w:style w:type="character" w:styleId="SubtleEmphasis">
    <w:name w:val="Subtle Emphasis"/>
    <w:basedOn w:val="DefaultParagraphFont"/>
    <w:uiPriority w:val="19"/>
    <w:qFormat/>
    <w:rsid w:val="00FC693F"/>
    <w:rPr>
      <w:i/>
      <w:iCs/>
      <w:color w:val="000000"/>
      <w:lang w:val="es-AR" w:eastAsia="es-AR" w:bidi="es-AR"/>
    </w:rPr>
  </w:style>
  <w:style w:type="character" w:styleId="IntenseEmphasis">
    <w:name w:val="Intense Emphasis"/>
    <w:basedOn w:val="DefaultParagraphFont"/>
    <w:uiPriority w:val="21"/>
    <w:qFormat/>
    <w:rsid w:val="00FC693F"/>
    <w:rPr>
      <w:b/>
      <w:bCs/>
      <w:i/>
      <w:iCs/>
      <w:color w:val="000000"/>
      <w:lang w:val="es-AR" w:eastAsia="es-AR" w:bidi="es-AR"/>
    </w:rPr>
  </w:style>
  <w:style w:type="character" w:styleId="SubtleReference">
    <w:name w:val="Subtle Reference"/>
    <w:basedOn w:val="DefaultParagraphFont"/>
    <w:uiPriority w:val="31"/>
    <w:qFormat/>
    <w:rsid w:val="00FC693F"/>
    <w:rPr>
      <w:smallCaps/>
      <w:color w:val="000000"/>
      <w:u w:val="single"/>
      <w:lang w:val="es-AR" w:eastAsia="es-AR" w:bidi="es-AR"/>
    </w:rPr>
  </w:style>
  <w:style w:type="character" w:styleId="IntenseReference">
    <w:name w:val="Intense Reference"/>
    <w:basedOn w:val="DefaultParagraphFont"/>
    <w:uiPriority w:val="32"/>
    <w:qFormat/>
    <w:rsid w:val="00FC693F"/>
    <w:rPr>
      <w:b/>
      <w:bCs/>
      <w:smallCaps/>
      <w:color w:val="000000"/>
      <w:spacing w:val="5"/>
      <w:u w:val="single"/>
      <w:lang w:val="es-AR" w:eastAsia="es-AR" w:bidi="es-AR"/>
    </w:rPr>
  </w:style>
  <w:style w:type="character" w:styleId="BookTitle">
    <w:name w:val="Book Title"/>
    <w:basedOn w:val="DefaultParagraphFont"/>
    <w:uiPriority w:val="33"/>
    <w:qFormat/>
    <w:rsid w:val="00FC693F"/>
    <w:rPr>
      <w:b/>
      <w:bCs/>
      <w:smallCaps/>
      <w:spacing w:val="5"/>
      <w:color w:val="000000"/>
      <w:lang w:val="es-AR" w:eastAsia="es-AR" w:bidi="es-AR"/>
    </w:rPr>
  </w:style>
  <w:style w:type="paragraph" w:styleId="TOCHeading">
    <w:name w:val="TOC Heading"/>
    <w:basedOn w:val="Heading1"/>
    <w:next w:val="Normal"/>
    <w:uiPriority w:val="39"/>
    <w:semiHidden/>
    <w:unhideWhenUsed/>
    <w:qFormat/>
    <w:rsid w:val="00FC693F"/>
    <w:pPr>
      <w:outlineLvl w:val="9"/>
    </w:pPr>
    <w:rPr>
      <w:color w:val="000000"/>
      <w:lang w:val="es-AR" w:eastAsia="es-AR" w:bidi="es-A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color w:val="000000"/>
      <w:lang w:val="es-AR" w:eastAsia="es-AR" w:bidi="es-AR"/>
    </w:rPr>
  </w:style>
  <w:style w:type="table" w:styleId="LightShading">
    <w:name w:val="Light Shading"/>
    <w:basedOn w:val="TableNormal"/>
    <w:uiPriority w:val="60"/>
    <w:rsid w:val="00FC693F"/>
    <w:pPr>
      <w:spacing w:after="0" w:line="240" w:lineRule="auto"/>
    </w:pPr>
    <w:rPr>
      <w:color w:val="000000"/>
      <w:lang w:val="es-AR" w:eastAsia="es-AR" w:bidi="es-A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lang w:val="es-AR" w:eastAsia="es-AR" w:bidi="es-A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lang w:val="es-AR" w:eastAsia="es-AR" w:bidi="es-A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lang w:val="es-AR" w:eastAsia="es-AR" w:bidi="es-A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lang w:val="es-AR" w:eastAsia="es-AR" w:bidi="es-A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lang w:val="es-AR" w:eastAsia="es-AR" w:bidi="es-A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lang w:val="es-AR" w:eastAsia="es-AR" w:bidi="es-A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color w:val="000000"/>
      <w:lang w:val="es-AR" w:eastAsia="es-AR" w:bidi="es-AR"/>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color w:val="000000"/>
      <w:lang w:val="es-AR" w:eastAsia="es-AR" w:bidi="es-AR"/>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color w:val="000000"/>
      <w:lang w:val="es-AR" w:eastAsia="es-AR" w:bidi="es-AR"/>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color w:val="000000"/>
      <w:lang w:val="es-AR" w:eastAsia="es-AR" w:bidi="es-AR"/>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color w:val="000000"/>
      <w:lang w:val="es-AR" w:eastAsia="es-AR" w:bidi="es-AR"/>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color w:val="000000"/>
      <w:lang w:val="es-AR" w:eastAsia="es-AR" w:bidi="es-AR"/>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color w:val="000000"/>
      <w:lang w:val="es-AR" w:eastAsia="es-AR" w:bidi="es-AR"/>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color w:val="000000"/>
      <w:lang w:val="es-AR" w:eastAsia="es-AR" w:bidi="es-AR"/>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color w:val="000000"/>
      <w:lang w:val="es-AR" w:eastAsia="es-AR" w:bidi="es-AR"/>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color w:val="000000"/>
      <w:lang w:val="es-AR" w:eastAsia="es-AR" w:bidi="es-AR"/>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color w:val="000000"/>
      <w:lang w:val="es-AR" w:eastAsia="es-AR" w:bidi="es-AR"/>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color w:val="000000"/>
      <w:lang w:val="es-AR" w:eastAsia="es-AR" w:bidi="es-AR"/>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color w:val="000000"/>
      <w:lang w:val="es-AR" w:eastAsia="es-AR" w:bidi="es-AR"/>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color w:val="000000"/>
      <w:lang w:val="es-AR" w:eastAsia="es-AR" w:bidi="es-AR"/>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color w:val="000000"/>
      <w:lang w:val="es-AR" w:eastAsia="es-AR" w:bidi="es-AR"/>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color w:val="000000"/>
      <w:lang w:val="es-AR" w:eastAsia="es-AR" w:bidi="es-AR"/>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color w:val="000000"/>
      <w:lang w:val="es-AR" w:eastAsia="es-AR" w:bidi="es-AR"/>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color w:val="000000"/>
      <w:lang w:val="es-AR" w:eastAsia="es-AR" w:bidi="es-AR"/>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color w:val="000000"/>
      <w:lang w:val="es-AR" w:eastAsia="es-AR" w:bidi="es-AR"/>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color w:val="000000"/>
      <w:lang w:val="es-AR" w:eastAsia="es-AR" w:bidi="es-AR"/>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color w:val="000000"/>
      <w:lang w:val="es-AR" w:eastAsia="es-AR" w:bidi="es-AR"/>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lang w:val="es-AR" w:eastAsia="es-AR" w:bidi="es-AR"/>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lang w:val="es-AR" w:eastAsia="es-AR" w:bidi="es-AR"/>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lang w:val="es-AR" w:eastAsia="es-AR" w:bidi="es-AR"/>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lang w:val="es-AR" w:eastAsia="es-AR" w:bidi="es-AR"/>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lang w:val="es-AR" w:eastAsia="es-AR" w:bidi="es-AR"/>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lang w:val="es-AR" w:eastAsia="es-AR" w:bidi="es-AR"/>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rPr>
      <w:color w:val="000000"/>
      <w:lang w:val="es-AR" w:eastAsia="es-AR" w:bidi="es-AR"/>
    </w:rPr>
  </w:style>
  <w:style w:type="table" w:styleId="MediumList1">
    <w:name w:val="Medium List 1"/>
    <w:basedOn w:val="TableNormal"/>
    <w:uiPriority w:val="65"/>
    <w:rsid w:val="00CB0664"/>
    <w:pPr>
      <w:spacing w:after="0" w:line="240" w:lineRule="auto"/>
    </w:pPr>
    <w:rPr>
      <w:color w:val="000000"/>
      <w:lang w:val="es-AR" w:eastAsia="es-AR" w:bidi="es-A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lang w:val="es-AR" w:eastAsia="es-AR" w:bidi="es-A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lang w:val="es-AR" w:eastAsia="es-AR" w:bidi="es-A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lang w:val="es-AR" w:eastAsia="es-AR" w:bidi="es-A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lang w:val="es-AR" w:eastAsia="es-AR" w:bidi="es-A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lang w:val="es-AR" w:eastAsia="es-AR" w:bidi="es-A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lang w:val="es-AR" w:eastAsia="es-AR" w:bidi="es-A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color w:val="000000"/>
      <w:lang w:val="es-AR" w:eastAsia="es-AR" w:bidi="es-AR"/>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color w:val="000000"/>
      <w:lang w:val="es-AR" w:eastAsia="es-AR" w:bidi="es-AR"/>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color w:val="000000"/>
      <w:lang w:val="es-AR" w:eastAsia="es-AR" w:bidi="es-AR"/>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color w:val="000000"/>
      <w:lang w:val="es-AR" w:eastAsia="es-AR" w:bidi="es-AR"/>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color w:val="000000"/>
      <w:lang w:val="es-AR" w:eastAsia="es-AR" w:bidi="es-AR"/>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color w:val="000000"/>
      <w:lang w:val="es-AR" w:eastAsia="es-AR" w:bidi="es-AR"/>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color w:val="000000"/>
      <w:lang w:val="es-AR" w:eastAsia="es-AR" w:bidi="es-AR"/>
    </w:r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lang w:val="es-AR" w:eastAsia="es-AR" w:bidi="es-A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color w:val="000000"/>
      <w:lang w:val="es-AR" w:eastAsia="es-AR" w:bidi="es-AR"/>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color w:val="000000"/>
      <w:lang w:val="es-AR" w:eastAsia="es-AR" w:bidi="es-AR"/>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color w:val="000000"/>
      <w:lang w:val="es-AR" w:eastAsia="es-AR" w:bidi="es-AR"/>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color w:val="000000"/>
      <w:lang w:val="es-AR" w:eastAsia="es-AR" w:bidi="es-AR"/>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color w:val="000000"/>
      <w:lang w:val="es-AR" w:eastAsia="es-AR" w:bidi="es-AR"/>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color w:val="000000"/>
      <w:lang w:val="es-AR" w:eastAsia="es-AR" w:bidi="es-AR"/>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color w:val="000000"/>
      <w:lang w:val="es-AR" w:eastAsia="es-AR" w:bidi="es-AR"/>
    </w:rPr>
  </w:style>
  <w:style w:type="table" w:styleId="DarkList">
    <w:name w:val="Dark List"/>
    <w:basedOn w:val="TableNormal"/>
    <w:uiPriority w:val="70"/>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lang w:val="es-AR" w:eastAsia="es-AR" w:bidi="es-A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lang w:val="es-AR" w:eastAsia="es-AR" w:bidi="es-A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lang w:val="es-AR" w:eastAsia="es-AR" w:bidi="es-A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lang w:val="es-AR" w:eastAsia="es-AR" w:bidi="es-A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lang w:val="es-AR" w:eastAsia="es-AR" w:bidi="es-A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lang w:val="es-AR" w:eastAsia="es-AR" w:bidi="es-A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lang w:val="es-AR" w:eastAsia="es-AR" w:bidi="es-A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lang w:val="es-AR" w:eastAsia="es-AR" w:bidi="es-A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lang w:val="es-AR" w:eastAsia="es-AR" w:bidi="es-A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lang w:val="es-AR" w:eastAsia="es-AR" w:bidi="es-A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lang w:val="es-AR" w:eastAsia="es-AR" w:bidi="es-A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lang w:val="es-AR" w:eastAsia="es-AR" w:bidi="es-A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lang w:val="es-AR" w:eastAsia="es-AR" w:bidi="es-A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lang w:val="es-AR" w:eastAsia="es-AR" w:bidi="es-A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lang w:val="es-AR" w:eastAsia="es-AR" w:bidi="es-A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es-A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learn.microsoft.com/en-us/power-bi/visuals/power-bi-visualization-slicer-visual" TargetMode="External"/><Relationship Id="rId19" Type="http://schemas.openxmlformats.org/officeDocument/2006/relationships/hyperlink" Target="https://learn.microsoft.com/en-us/power-bi/create-reports/desktop-drillthrough" TargetMode="External"/><Relationship Id="rId20" Type="http://schemas.openxmlformats.org/officeDocument/2006/relationships/hyperlink" Target="https://learn.microsoft.com/en-us/power-bi/create-reports/desktop-bookmarks" TargetMode="External"/><Relationship Id="rId21" Type="http://schemas.openxmlformats.org/officeDocument/2006/relationships/hyperlink" Target="https://learn.microsoft.com/en-us/power-bi/collaborate-share/end-user-pdf"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