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54587C" wp14:paraId="71E87CE4" wp14:textId="589EF46B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154587C" w:rsidR="3D96C0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Reflexión de la </w:t>
      </w:r>
      <w:r w:rsidRPr="1154587C" w:rsidR="3D96C060">
        <w:rPr>
          <w:rFonts w:ascii="Aptos" w:hAnsi="Aptos" w:eastAsia="Aptos" w:cs="Aptos"/>
          <w:noProof w:val="0"/>
          <w:sz w:val="24"/>
          <w:szCs w:val="24"/>
          <w:lang w:val="es-ES"/>
        </w:rPr>
        <w:t>semana</w:t>
      </w:r>
    </w:p>
    <w:p xmlns:wp14="http://schemas.microsoft.com/office/word/2010/wordml" w:rsidP="1154587C" wp14:paraId="00B2792F" wp14:textId="0BC93BF8">
      <w:pPr>
        <w:spacing w:before="240" w:beforeAutospacing="off" w:after="240" w:afterAutospacing="off"/>
      </w:pPr>
      <w:r w:rsidRPr="1154587C" w:rsidR="3D96C060">
        <w:rPr>
          <w:rFonts w:ascii="Aptos" w:hAnsi="Aptos" w:eastAsia="Aptos" w:cs="Aptos"/>
          <w:noProof w:val="0"/>
          <w:sz w:val="24"/>
          <w:szCs w:val="24"/>
          <w:lang w:val="es-ES"/>
        </w:rPr>
        <w:t>En la actualidad, el uso responsable de la información en internet es fundamental para una convivencia digital sana. La ciudadanía digital implica actuar de manera ética, respetando a los demás y verificando la información antes de compartirla. Esto se relaciona con la participación ciudadana, ya que permite que las personas tomen decisiones informadas y contribuyan positivamente a la sociedad.</w:t>
      </w:r>
    </w:p>
    <w:p xmlns:wp14="http://schemas.microsoft.com/office/word/2010/wordml" w:rsidP="1154587C" wp14:paraId="2F1ABEF6" wp14:textId="45EFF5F8">
      <w:pPr>
        <w:spacing w:before="240" w:beforeAutospacing="off" w:after="240" w:afterAutospacing="off"/>
      </w:pPr>
      <w:r w:rsidRPr="1154587C" w:rsidR="3D96C060">
        <w:rPr>
          <w:rFonts w:ascii="Aptos" w:hAnsi="Aptos" w:eastAsia="Aptos" w:cs="Aptos"/>
          <w:noProof w:val="0"/>
          <w:sz w:val="24"/>
          <w:szCs w:val="24"/>
          <w:lang w:val="es-ES"/>
        </w:rPr>
        <w:t>Por otro lado, herramientas como Git ayudan a organizar el trabajo técnico, permitiendo un mejor control de los cambios y facilitando el trabajo en equipo. Esto también fomenta la responsabilidad y el orden en los proyectos digitales.</w:t>
      </w:r>
    </w:p>
    <w:p xmlns:wp14="http://schemas.microsoft.com/office/word/2010/wordml" w:rsidP="1154587C" wp14:paraId="4F367B84" wp14:textId="3FB71DBA">
      <w:pPr>
        <w:spacing w:before="240" w:beforeAutospacing="off" w:after="240" w:afterAutospacing="off"/>
      </w:pPr>
      <w:r w:rsidRPr="1154587C" w:rsidR="3D96C060">
        <w:rPr>
          <w:rFonts w:ascii="Aptos" w:hAnsi="Aptos" w:eastAsia="Aptos" w:cs="Aptos"/>
          <w:noProof w:val="0"/>
          <w:sz w:val="24"/>
          <w:szCs w:val="24"/>
          <w:lang w:val="es-ES"/>
        </w:rPr>
        <w:t>En conclusión, tanto el uso responsable de internet como la organización del trabajo con herramientas tecnológicas son claves para un desarrollo adecuado en el mundo digital.</w:t>
      </w:r>
    </w:p>
    <w:p xmlns:wp14="http://schemas.microsoft.com/office/word/2010/wordml" wp14:paraId="5C1A07E2" wp14:textId="27BBFBD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6C1CA6"/>
    <w:rsid w:val="056C1CA6"/>
    <w:rsid w:val="104B9CF3"/>
    <w:rsid w:val="1154587C"/>
    <w:rsid w:val="3D96C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FEB7"/>
  <w15:chartTrackingRefBased/>
  <w15:docId w15:val="{2A12D2DF-0941-40A4-BC18-282B7C0FCF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5458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2026-04-24T16:51:01.5527388Z</dcterms:created>
  <dcterms:modified xsi:type="dcterms:W3CDTF">2026-04-24T16:52:22.1126858Z</dcterms:modified>
  <dc:creator>campo10anyi@gmail.com</dc:creator>
  <lastModifiedBy>campo10anyi@gmail.com</lastModifiedBy>
</coreProperties>
</file>