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72A" w:rsidRPr="00FD3539" w:rsidRDefault="0010372A">
      <w:pPr>
        <w:spacing w:after="0" w:line="480" w:lineRule="auto"/>
        <w:jc w:val="center"/>
        <w:rPr>
          <w:rFonts w:ascii="Times New Roman" w:eastAsia="Times New Roman" w:hAnsi="Times New Roman" w:cs="Times New Roman"/>
          <w:b/>
        </w:rPr>
      </w:pPr>
    </w:p>
    <w:p w:rsidR="0010372A" w:rsidRPr="00FD3539" w:rsidRDefault="0010372A">
      <w:pPr>
        <w:spacing w:after="0" w:line="480" w:lineRule="auto"/>
        <w:jc w:val="center"/>
        <w:rPr>
          <w:rFonts w:ascii="Times New Roman" w:eastAsia="Times New Roman" w:hAnsi="Times New Roman" w:cs="Times New Roman"/>
          <w:b/>
        </w:rPr>
      </w:pPr>
    </w:p>
    <w:p w:rsidR="0010372A" w:rsidRPr="00FD3539" w:rsidRDefault="0010372A">
      <w:pPr>
        <w:spacing w:after="0" w:line="480" w:lineRule="auto"/>
        <w:jc w:val="center"/>
        <w:rPr>
          <w:rFonts w:ascii="Times New Roman" w:eastAsia="Times New Roman" w:hAnsi="Times New Roman" w:cs="Times New Roman"/>
          <w:b/>
        </w:rPr>
      </w:pPr>
    </w:p>
    <w:p w:rsidR="0010372A" w:rsidRPr="00FD3539" w:rsidRDefault="0010372A">
      <w:pPr>
        <w:spacing w:after="0" w:line="480" w:lineRule="auto"/>
        <w:jc w:val="center"/>
        <w:rPr>
          <w:rFonts w:ascii="Times New Roman" w:eastAsia="Times New Roman" w:hAnsi="Times New Roman" w:cs="Times New Roman"/>
          <w:b/>
        </w:rPr>
      </w:pPr>
    </w:p>
    <w:p w:rsidR="0010372A" w:rsidRPr="00FD3539" w:rsidRDefault="0010372A">
      <w:pPr>
        <w:spacing w:after="0" w:line="480" w:lineRule="auto"/>
        <w:jc w:val="center"/>
        <w:rPr>
          <w:rFonts w:ascii="Times New Roman" w:eastAsia="Times New Roman" w:hAnsi="Times New Roman" w:cs="Times New Roman"/>
          <w:b/>
        </w:rPr>
      </w:pPr>
    </w:p>
    <w:p w:rsidR="0010372A" w:rsidRPr="00FD3539" w:rsidRDefault="0010372A">
      <w:pPr>
        <w:spacing w:after="0" w:line="480" w:lineRule="auto"/>
        <w:jc w:val="center"/>
        <w:rPr>
          <w:rFonts w:ascii="Times New Roman" w:eastAsia="Times New Roman" w:hAnsi="Times New Roman" w:cs="Times New Roman"/>
          <w:b/>
        </w:rPr>
      </w:pPr>
    </w:p>
    <w:p w:rsidR="0010372A" w:rsidRPr="00FD3539" w:rsidRDefault="0010372A">
      <w:pPr>
        <w:spacing w:after="0" w:line="480" w:lineRule="auto"/>
        <w:jc w:val="center"/>
        <w:rPr>
          <w:rFonts w:ascii="Times New Roman" w:eastAsia="Times New Roman" w:hAnsi="Times New Roman" w:cs="Times New Roman"/>
          <w:b/>
        </w:rPr>
      </w:pPr>
    </w:p>
    <w:p w:rsidR="0010372A" w:rsidRPr="00FD3539" w:rsidRDefault="00FB3A05">
      <w:pPr>
        <w:spacing w:after="0" w:line="480" w:lineRule="auto"/>
        <w:jc w:val="center"/>
        <w:rPr>
          <w:rFonts w:ascii="Times New Roman" w:eastAsia="Times New Roman" w:hAnsi="Times New Roman" w:cs="Times New Roman"/>
          <w:highlight w:val="white"/>
        </w:rPr>
      </w:pPr>
      <w:r w:rsidRPr="00FD3539">
        <w:rPr>
          <w:rFonts w:ascii="Times New Roman" w:eastAsia="Times New Roman" w:hAnsi="Times New Roman" w:cs="Times New Roman"/>
          <w:b/>
          <w:highlight w:val="white"/>
        </w:rPr>
        <w:t>Final Research Paper</w:t>
      </w:r>
    </w:p>
    <w:p w:rsidR="0010372A" w:rsidRPr="00FD3539" w:rsidRDefault="0010372A">
      <w:pPr>
        <w:spacing w:after="0" w:line="480" w:lineRule="auto"/>
        <w:jc w:val="center"/>
        <w:rPr>
          <w:rFonts w:ascii="Times New Roman" w:eastAsia="Times New Roman" w:hAnsi="Times New Roman" w:cs="Times New Roman"/>
          <w:highlight w:val="white"/>
        </w:rPr>
      </w:pPr>
    </w:p>
    <w:p w:rsidR="0010372A" w:rsidRPr="00FD3539" w:rsidRDefault="00FB3A05">
      <w:pPr>
        <w:spacing w:after="0" w:line="480" w:lineRule="auto"/>
        <w:jc w:val="center"/>
        <w:rPr>
          <w:rFonts w:ascii="Times New Roman" w:eastAsia="Times New Roman" w:hAnsi="Times New Roman" w:cs="Times New Roman"/>
          <w:highlight w:val="white"/>
        </w:rPr>
      </w:pPr>
      <w:r w:rsidRPr="00FD3539">
        <w:rPr>
          <w:rFonts w:ascii="Times New Roman" w:eastAsia="Times New Roman" w:hAnsi="Times New Roman" w:cs="Times New Roman"/>
          <w:highlight w:val="white"/>
        </w:rPr>
        <w:t>Grace Campos</w:t>
      </w:r>
    </w:p>
    <w:p w:rsidR="0010372A" w:rsidRPr="00FD3539" w:rsidRDefault="00FB3A05">
      <w:pPr>
        <w:spacing w:after="0" w:line="480" w:lineRule="auto"/>
        <w:jc w:val="center"/>
        <w:rPr>
          <w:rFonts w:ascii="Times New Roman" w:eastAsia="Times New Roman" w:hAnsi="Times New Roman" w:cs="Times New Roman"/>
          <w:highlight w:val="white"/>
        </w:rPr>
      </w:pPr>
      <w:r w:rsidRPr="00FD3539">
        <w:rPr>
          <w:rFonts w:ascii="Times New Roman" w:eastAsia="Times New Roman" w:hAnsi="Times New Roman" w:cs="Times New Roman"/>
          <w:highlight w:val="white"/>
        </w:rPr>
        <w:t>Colorado State University Global</w:t>
      </w:r>
    </w:p>
    <w:p w:rsidR="0010372A" w:rsidRPr="00FD3539" w:rsidRDefault="00FB3A05">
      <w:pPr>
        <w:spacing w:after="0" w:line="480" w:lineRule="auto"/>
        <w:jc w:val="center"/>
        <w:rPr>
          <w:rFonts w:ascii="Times New Roman" w:eastAsia="Times New Roman" w:hAnsi="Times New Roman" w:cs="Times New Roman"/>
          <w:highlight w:val="white"/>
        </w:rPr>
      </w:pPr>
      <w:r w:rsidRPr="00FD3539">
        <w:rPr>
          <w:rFonts w:ascii="Times New Roman" w:eastAsia="Times New Roman" w:hAnsi="Times New Roman" w:cs="Times New Roman"/>
          <w:highlight w:val="white"/>
        </w:rPr>
        <w:t>MIS581: Capstone – Business Intelligence and Data Analytics</w:t>
      </w:r>
    </w:p>
    <w:p w:rsidR="0010372A" w:rsidRPr="00FD3539" w:rsidRDefault="00FB3A05">
      <w:pPr>
        <w:spacing w:after="0" w:line="480" w:lineRule="auto"/>
        <w:jc w:val="center"/>
        <w:rPr>
          <w:rFonts w:ascii="Times New Roman" w:eastAsia="Times New Roman" w:hAnsi="Times New Roman" w:cs="Times New Roman"/>
          <w:highlight w:val="white"/>
        </w:rPr>
      </w:pPr>
      <w:r w:rsidRPr="00FD3539">
        <w:rPr>
          <w:rFonts w:ascii="Times New Roman" w:eastAsia="Times New Roman" w:hAnsi="Times New Roman" w:cs="Times New Roman"/>
        </w:rPr>
        <w:t>Dr. Lisa Bryan</w:t>
      </w:r>
    </w:p>
    <w:p w:rsidR="0010372A" w:rsidRPr="00FD3539" w:rsidRDefault="00FB3A05">
      <w:pPr>
        <w:spacing w:after="0" w:line="480" w:lineRule="auto"/>
        <w:jc w:val="center"/>
        <w:rPr>
          <w:rFonts w:ascii="Times New Roman" w:eastAsia="Times New Roman" w:hAnsi="Times New Roman" w:cs="Times New Roman"/>
          <w:highlight w:val="white"/>
        </w:rPr>
      </w:pPr>
      <w:r w:rsidRPr="00FD3539">
        <w:rPr>
          <w:rFonts w:ascii="Times New Roman" w:eastAsia="Times New Roman" w:hAnsi="Times New Roman" w:cs="Times New Roman"/>
          <w:highlight w:val="white"/>
        </w:rPr>
        <w:t>November 2</w:t>
      </w:r>
      <w:r w:rsidR="002F6D21">
        <w:rPr>
          <w:rFonts w:ascii="Times New Roman" w:eastAsia="Times New Roman" w:hAnsi="Times New Roman" w:cs="Times New Roman"/>
          <w:highlight w:val="white"/>
        </w:rPr>
        <w:t>7</w:t>
      </w:r>
      <w:r w:rsidRPr="00FD3539">
        <w:rPr>
          <w:rFonts w:ascii="Times New Roman" w:eastAsia="Times New Roman" w:hAnsi="Times New Roman" w:cs="Times New Roman"/>
          <w:highlight w:val="white"/>
        </w:rPr>
        <w:t>, 2022</w:t>
      </w:r>
    </w:p>
    <w:p w:rsidR="0010372A" w:rsidRPr="00FD3539" w:rsidRDefault="0010372A">
      <w:pPr>
        <w:spacing w:line="480" w:lineRule="auto"/>
        <w:jc w:val="center"/>
        <w:rPr>
          <w:rFonts w:ascii="Times New Roman" w:eastAsia="Times New Roman" w:hAnsi="Times New Roman" w:cs="Times New Roman"/>
          <w:b/>
        </w:rPr>
        <w:sectPr w:rsidR="0010372A" w:rsidRPr="00FD3539">
          <w:headerReference w:type="default" r:id="rId7"/>
          <w:pgSz w:w="12240" w:h="15840"/>
          <w:pgMar w:top="1440" w:right="1440" w:bottom="1440" w:left="1440" w:header="720" w:footer="720" w:gutter="0"/>
          <w:pgNumType w:start="1"/>
          <w:cols w:space="720"/>
        </w:sectPr>
      </w:pPr>
    </w:p>
    <w:p w:rsidR="00637C8C" w:rsidRDefault="00637C8C" w:rsidP="000F26B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ABSTRACT</w:t>
      </w:r>
    </w:p>
    <w:p w:rsidR="0017316B" w:rsidRDefault="000168AD" w:rsidP="000F26B6">
      <w:pPr>
        <w:spacing w:line="480" w:lineRule="auto"/>
        <w:rPr>
          <w:rFonts w:ascii="Times New Roman" w:eastAsia="Times New Roman" w:hAnsi="Times New Roman" w:cs="Times New Roman"/>
        </w:rPr>
      </w:pPr>
      <w:r w:rsidRPr="000168AD">
        <w:rPr>
          <w:rFonts w:ascii="Times New Roman" w:eastAsia="Times New Roman" w:hAnsi="Times New Roman" w:cs="Times New Roman"/>
        </w:rPr>
        <w:t xml:space="preserve">This </w:t>
      </w:r>
      <w:r>
        <w:rPr>
          <w:rFonts w:ascii="Times New Roman" w:eastAsia="Times New Roman" w:hAnsi="Times New Roman" w:cs="Times New Roman"/>
        </w:rPr>
        <w:t>work</w:t>
      </w:r>
      <w:r w:rsidR="009D4633">
        <w:rPr>
          <w:rFonts w:ascii="Times New Roman" w:eastAsia="Times New Roman" w:hAnsi="Times New Roman" w:cs="Times New Roman"/>
        </w:rPr>
        <w:t xml:space="preserve"> </w:t>
      </w:r>
      <w:r w:rsidR="00B67D78">
        <w:rPr>
          <w:rFonts w:ascii="Times New Roman" w:eastAsia="Times New Roman" w:hAnsi="Times New Roman" w:cs="Times New Roman"/>
        </w:rPr>
        <w:t>utilizes</w:t>
      </w:r>
      <w:r w:rsidR="00A05D8B">
        <w:rPr>
          <w:rFonts w:ascii="Times New Roman" w:eastAsia="Times New Roman" w:hAnsi="Times New Roman" w:cs="Times New Roman"/>
        </w:rPr>
        <w:t xml:space="preserve"> widely available</w:t>
      </w:r>
      <w:r w:rsidR="00B67D78">
        <w:rPr>
          <w:rFonts w:ascii="Times New Roman" w:eastAsia="Times New Roman" w:hAnsi="Times New Roman" w:cs="Times New Roman"/>
        </w:rPr>
        <w:t xml:space="preserve"> academic data to </w:t>
      </w:r>
      <w:r w:rsidR="00602EEC">
        <w:rPr>
          <w:rFonts w:ascii="Times New Roman" w:eastAsia="Times New Roman" w:hAnsi="Times New Roman" w:cs="Times New Roman"/>
        </w:rPr>
        <w:t>show</w:t>
      </w:r>
      <w:r w:rsidR="00B67D78">
        <w:rPr>
          <w:rFonts w:ascii="Times New Roman" w:eastAsia="Times New Roman" w:hAnsi="Times New Roman" w:cs="Times New Roman"/>
        </w:rPr>
        <w:t xml:space="preserve"> districts and schools </w:t>
      </w:r>
      <w:r w:rsidR="00602EEC">
        <w:rPr>
          <w:rFonts w:ascii="Times New Roman" w:eastAsia="Times New Roman" w:hAnsi="Times New Roman" w:cs="Times New Roman"/>
        </w:rPr>
        <w:t xml:space="preserve">how to build </w:t>
      </w:r>
      <w:r w:rsidR="00B67D78">
        <w:rPr>
          <w:rFonts w:ascii="Times New Roman" w:eastAsia="Times New Roman" w:hAnsi="Times New Roman" w:cs="Times New Roman"/>
        </w:rPr>
        <w:t xml:space="preserve">a tool that </w:t>
      </w:r>
      <w:r w:rsidR="00602EEC">
        <w:rPr>
          <w:rFonts w:ascii="Times New Roman" w:eastAsia="Times New Roman" w:hAnsi="Times New Roman" w:cs="Times New Roman"/>
        </w:rPr>
        <w:t xml:space="preserve">could </w:t>
      </w:r>
      <w:r w:rsidR="00B67D78">
        <w:rPr>
          <w:rFonts w:ascii="Times New Roman" w:eastAsia="Times New Roman" w:hAnsi="Times New Roman" w:cs="Times New Roman"/>
        </w:rPr>
        <w:t xml:space="preserve">support </w:t>
      </w:r>
      <w:r w:rsidR="00270375">
        <w:rPr>
          <w:rFonts w:ascii="Times New Roman" w:eastAsia="Times New Roman" w:hAnsi="Times New Roman" w:cs="Times New Roman"/>
        </w:rPr>
        <w:t xml:space="preserve">beginning of the year </w:t>
      </w:r>
      <w:r w:rsidR="00B67D78">
        <w:rPr>
          <w:rFonts w:ascii="Times New Roman" w:eastAsia="Times New Roman" w:hAnsi="Times New Roman" w:cs="Times New Roman"/>
        </w:rPr>
        <w:t xml:space="preserve">academic goal setting. </w:t>
      </w:r>
      <w:r w:rsidR="00F52DB7">
        <w:rPr>
          <w:rFonts w:ascii="Times New Roman" w:eastAsia="Times New Roman" w:hAnsi="Times New Roman" w:cs="Times New Roman"/>
        </w:rPr>
        <w:t xml:space="preserve">In addition, </w:t>
      </w:r>
      <w:r w:rsidR="00454F4E">
        <w:rPr>
          <w:rFonts w:ascii="Times New Roman" w:eastAsia="Times New Roman" w:hAnsi="Times New Roman" w:cs="Times New Roman"/>
        </w:rPr>
        <w:t>the tool</w:t>
      </w:r>
      <w:r w:rsidR="00F52DB7">
        <w:rPr>
          <w:rFonts w:ascii="Times New Roman" w:eastAsia="Times New Roman" w:hAnsi="Times New Roman" w:cs="Times New Roman"/>
        </w:rPr>
        <w:t xml:space="preserve"> provides district</w:t>
      </w:r>
      <w:r w:rsidR="0063176F">
        <w:rPr>
          <w:rFonts w:ascii="Times New Roman" w:eastAsia="Times New Roman" w:hAnsi="Times New Roman" w:cs="Times New Roman"/>
        </w:rPr>
        <w:t>s</w:t>
      </w:r>
      <w:r w:rsidR="00F52DB7">
        <w:rPr>
          <w:rFonts w:ascii="Times New Roman" w:eastAsia="Times New Roman" w:hAnsi="Times New Roman" w:cs="Times New Roman"/>
        </w:rPr>
        <w:t xml:space="preserve"> a more realistic projection of their end-of-year state test performance. </w:t>
      </w:r>
      <w:r w:rsidR="00D62521">
        <w:rPr>
          <w:rFonts w:ascii="Times New Roman" w:eastAsia="Times New Roman" w:hAnsi="Times New Roman" w:cs="Times New Roman"/>
        </w:rPr>
        <w:t xml:space="preserve">In particular, this paper reviews diagnostic assessments, state test scores, and EVAAS projections to test commonly accepted beliefs in districts that drive outdated teaching and learning practices. </w:t>
      </w:r>
      <w:r w:rsidR="00FD6E93">
        <w:rPr>
          <w:rFonts w:ascii="Times New Roman" w:eastAsia="Times New Roman" w:hAnsi="Times New Roman" w:cs="Times New Roman"/>
        </w:rPr>
        <w:t xml:space="preserve">Various </w:t>
      </w:r>
      <w:r w:rsidR="00C9097C">
        <w:rPr>
          <w:rFonts w:ascii="Times New Roman" w:eastAsia="Times New Roman" w:hAnsi="Times New Roman" w:cs="Times New Roman"/>
        </w:rPr>
        <w:t xml:space="preserve">tests were performed including one sample T-tests, ANOVA, and Kruskal-Wallis. </w:t>
      </w:r>
      <w:r w:rsidR="00C81370">
        <w:rPr>
          <w:rFonts w:ascii="Times New Roman" w:eastAsia="Times New Roman" w:hAnsi="Times New Roman" w:cs="Times New Roman"/>
        </w:rPr>
        <w:t>Most importantly, this paper highlights the constant evolution of annual cut</w:t>
      </w:r>
      <w:r w:rsidR="008A0142">
        <w:rPr>
          <w:rFonts w:ascii="Times New Roman" w:eastAsia="Times New Roman" w:hAnsi="Times New Roman" w:cs="Times New Roman"/>
        </w:rPr>
        <w:t>-</w:t>
      </w:r>
      <w:r w:rsidR="00C81370">
        <w:rPr>
          <w:rFonts w:ascii="Times New Roman" w:eastAsia="Times New Roman" w:hAnsi="Times New Roman" w:cs="Times New Roman"/>
        </w:rPr>
        <w:t>score determination</w:t>
      </w:r>
      <w:r w:rsidR="00B62602">
        <w:rPr>
          <w:rFonts w:ascii="Times New Roman" w:eastAsia="Times New Roman" w:hAnsi="Times New Roman" w:cs="Times New Roman"/>
        </w:rPr>
        <w:t xml:space="preserve"> by grade level</w:t>
      </w:r>
      <w:r w:rsidR="00FA44B8">
        <w:rPr>
          <w:rFonts w:ascii="Times New Roman" w:eastAsia="Times New Roman" w:hAnsi="Times New Roman" w:cs="Times New Roman"/>
        </w:rPr>
        <w:t>,</w:t>
      </w:r>
      <w:r w:rsidR="00516AC9">
        <w:rPr>
          <w:rFonts w:ascii="Times New Roman" w:eastAsia="Times New Roman" w:hAnsi="Times New Roman" w:cs="Times New Roman"/>
        </w:rPr>
        <w:t xml:space="preserve"> </w:t>
      </w:r>
      <w:r w:rsidR="00FA44B8">
        <w:rPr>
          <w:rFonts w:ascii="Times New Roman" w:eastAsia="Times New Roman" w:hAnsi="Times New Roman" w:cs="Times New Roman"/>
        </w:rPr>
        <w:t xml:space="preserve">and the importance of </w:t>
      </w:r>
      <w:r w:rsidR="00516AC9">
        <w:rPr>
          <w:rFonts w:ascii="Times New Roman" w:eastAsia="Times New Roman" w:hAnsi="Times New Roman" w:cs="Times New Roman"/>
        </w:rPr>
        <w:t>incorporating newly collected data.</w:t>
      </w:r>
      <w:r w:rsidR="00C81370">
        <w:rPr>
          <w:rFonts w:ascii="Times New Roman" w:eastAsia="Times New Roman" w:hAnsi="Times New Roman" w:cs="Times New Roman"/>
        </w:rPr>
        <w:t xml:space="preserve"> This practice not only broadens the dataset used in analytics, but also gives the district the opportunity to move away from national or state standards that are often not reflective of their unique demographics. </w:t>
      </w:r>
      <w:r w:rsidR="000808C5">
        <w:rPr>
          <w:rFonts w:ascii="Times New Roman" w:eastAsia="Times New Roman" w:hAnsi="Times New Roman" w:cs="Times New Roman"/>
        </w:rPr>
        <w:t xml:space="preserve">Lastly, </w:t>
      </w:r>
      <w:r w:rsidR="00F15FD2">
        <w:rPr>
          <w:rFonts w:ascii="Times New Roman" w:eastAsia="Times New Roman" w:hAnsi="Times New Roman" w:cs="Times New Roman"/>
        </w:rPr>
        <w:t xml:space="preserve">this work </w:t>
      </w:r>
      <w:r w:rsidR="00AB50BD">
        <w:rPr>
          <w:rFonts w:ascii="Times New Roman" w:eastAsia="Times New Roman" w:hAnsi="Times New Roman" w:cs="Times New Roman"/>
        </w:rPr>
        <w:t xml:space="preserve">is meant to be a starting foundation for districts to use </w:t>
      </w:r>
      <w:r w:rsidR="00BF0DE1">
        <w:rPr>
          <w:rFonts w:ascii="Times New Roman" w:eastAsia="Times New Roman" w:hAnsi="Times New Roman" w:cs="Times New Roman"/>
        </w:rPr>
        <w:t>and</w:t>
      </w:r>
      <w:r w:rsidR="00AF6F59">
        <w:rPr>
          <w:rFonts w:ascii="Times New Roman" w:eastAsia="Times New Roman" w:hAnsi="Times New Roman" w:cs="Times New Roman"/>
        </w:rPr>
        <w:t xml:space="preserve"> </w:t>
      </w:r>
      <w:r w:rsidR="00AB50BD">
        <w:rPr>
          <w:rFonts w:ascii="Times New Roman" w:eastAsia="Times New Roman" w:hAnsi="Times New Roman" w:cs="Times New Roman"/>
        </w:rPr>
        <w:t xml:space="preserve">show that the basic </w:t>
      </w:r>
      <w:r w:rsidR="005B2EC9">
        <w:rPr>
          <w:rFonts w:ascii="Times New Roman" w:eastAsia="Times New Roman" w:hAnsi="Times New Roman" w:cs="Times New Roman"/>
        </w:rPr>
        <w:t>data</w:t>
      </w:r>
      <w:r w:rsidR="00D13DB8">
        <w:rPr>
          <w:rFonts w:ascii="Times New Roman" w:eastAsia="Times New Roman" w:hAnsi="Times New Roman" w:cs="Times New Roman"/>
        </w:rPr>
        <w:t>set</w:t>
      </w:r>
      <w:r w:rsidR="005B2EC9">
        <w:rPr>
          <w:rFonts w:ascii="Times New Roman" w:eastAsia="Times New Roman" w:hAnsi="Times New Roman" w:cs="Times New Roman"/>
        </w:rPr>
        <w:t xml:space="preserve"> </w:t>
      </w:r>
      <w:r w:rsidR="00AB50BD">
        <w:rPr>
          <w:rFonts w:ascii="Times New Roman" w:eastAsia="Times New Roman" w:hAnsi="Times New Roman" w:cs="Times New Roman"/>
        </w:rPr>
        <w:t xml:space="preserve">requirements are already available or easily obtainable. </w:t>
      </w:r>
    </w:p>
    <w:p w:rsidR="00637C8C" w:rsidRPr="00637C8C" w:rsidRDefault="0017316B" w:rsidP="000F26B6">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i/>
        </w:rPr>
        <w:t xml:space="preserve">Keywords: </w:t>
      </w:r>
      <w:r w:rsidR="00893A81" w:rsidRPr="00893A81">
        <w:rPr>
          <w:rFonts w:ascii="Times New Roman" w:eastAsia="Times New Roman" w:hAnsi="Times New Roman" w:cs="Times New Roman"/>
        </w:rPr>
        <w:t>cut-scores;</w:t>
      </w:r>
      <w:r w:rsidR="00893A81">
        <w:rPr>
          <w:rFonts w:ascii="Times New Roman" w:eastAsia="Times New Roman" w:hAnsi="Times New Roman" w:cs="Times New Roman"/>
          <w:i/>
        </w:rPr>
        <w:t xml:space="preserve"> </w:t>
      </w:r>
      <w:r w:rsidR="004C042D">
        <w:rPr>
          <w:rFonts w:ascii="Times New Roman" w:eastAsia="Times New Roman" w:hAnsi="Times New Roman" w:cs="Times New Roman"/>
        </w:rPr>
        <w:t>student achievement; state test projection</w:t>
      </w:r>
      <w:r w:rsidR="00150A3C">
        <w:rPr>
          <w:rFonts w:ascii="Times New Roman" w:eastAsia="Times New Roman" w:hAnsi="Times New Roman" w:cs="Times New Roman"/>
        </w:rPr>
        <w:t>; data analytics</w:t>
      </w:r>
      <w:r w:rsidR="00637C8C" w:rsidRPr="00637C8C">
        <w:rPr>
          <w:rFonts w:ascii="Times New Roman" w:eastAsia="Times New Roman" w:hAnsi="Times New Roman" w:cs="Times New Roman"/>
        </w:rPr>
        <w:br w:type="page"/>
      </w:r>
    </w:p>
    <w:p w:rsidR="0010372A" w:rsidRPr="00FD3539" w:rsidRDefault="00FB3A05">
      <w:pPr>
        <w:spacing w:before="240" w:after="240"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lastRenderedPageBreak/>
        <w:t>INTRODUCTION</w:t>
      </w:r>
    </w:p>
    <w:p w:rsidR="0010372A" w:rsidRPr="00FD3539" w:rsidRDefault="00FB3A05">
      <w:pPr>
        <w:spacing w:before="240" w:after="24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Schools, private and public alike, are always seeking strategies to improve student competency and competitiveness. In the same vein, the state is also heavily invested to increase the potential of young people to earn a good living wage by the time they jump into the workforce. Ultimately, the goal is to educate students so that they become good citizens who are equipped with tools to become productive members of society. However, there are many steps that must be taken before any of it can happen. For instance, numerous factors contribute to the struggles many schools face in providing all the support a student requires before they graduate starting in elementary level. To better understand those factors, schools have adopted descriptive models. These models aim to better inform school personnel what is happening within the walls of schools and the educational culture as a whole. Realistically, these are not enough.</w:t>
      </w:r>
    </w:p>
    <w:p w:rsidR="0010372A" w:rsidRPr="00FD3539" w:rsidRDefault="00FB3A05">
      <w:pPr>
        <w:spacing w:before="240"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In addition, the state of Ohio has a “talent gap” problem. This means that the number of in-demand jobs that require postsecondary certification or higher are not being met by the working-age population. This is a serious problem, and if it continues, the state will lose ground resulting in long-term negative effects related to job creation and retention. In order to meet the needs of employers, Ohio must produce 1.3 million adults with highly qualified post-secondary certificates or degrees (ODHE, 2021). As one can imagine, secondary students who lag behind on academic standards do not help this case. Neither do underperforming elementary students. Therefore, finding a solution to the low achievement performance is dire. Though it may seem that the solution targets a specific age group, truthfully, it is not the case. Strategically, in order to attain this goal, one must step back and look at the achievement from elementary to grade 10 students.</w:t>
      </w:r>
    </w:p>
    <w:p w:rsidR="0010372A" w:rsidRPr="00FD3539" w:rsidRDefault="00FB3A05">
      <w:pPr>
        <w:spacing w:before="240" w:after="240"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t>OBJECTIVES</w:t>
      </w:r>
    </w:p>
    <w:p w:rsidR="0010372A" w:rsidRPr="00FD3539" w:rsidRDefault="00FB3A05">
      <w:pPr>
        <w:spacing w:before="240"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 xml:space="preserve">Plenty of studies have concluded that the most accurate predictor of student achievement is the extent to which the family is involved in his or her education (Henderson &amp; </w:t>
      </w:r>
      <w:proofErr w:type="spellStart"/>
      <w:r w:rsidRPr="00FD3539">
        <w:rPr>
          <w:rFonts w:ascii="Times New Roman" w:eastAsia="Times New Roman" w:hAnsi="Times New Roman" w:cs="Times New Roman"/>
        </w:rPr>
        <w:t>Berla</w:t>
      </w:r>
      <w:proofErr w:type="spellEnd"/>
      <w:r w:rsidRPr="00FD3539">
        <w:rPr>
          <w:rFonts w:ascii="Times New Roman" w:eastAsia="Times New Roman" w:hAnsi="Times New Roman" w:cs="Times New Roman"/>
        </w:rPr>
        <w:t>,</w:t>
      </w:r>
      <w:r w:rsidR="00094563" w:rsidRPr="00FD3539">
        <w:rPr>
          <w:rFonts w:ascii="Times New Roman" w:eastAsia="Times New Roman" w:hAnsi="Times New Roman" w:cs="Times New Roman"/>
        </w:rPr>
        <w:t xml:space="preserve"> </w:t>
      </w:r>
      <w:r w:rsidRPr="00FD3539">
        <w:rPr>
          <w:rFonts w:ascii="Times New Roman" w:eastAsia="Times New Roman" w:hAnsi="Times New Roman" w:cs="Times New Roman"/>
        </w:rPr>
        <w:t xml:space="preserve">1994). Others claimed </w:t>
      </w:r>
      <w:r w:rsidRPr="00FD3539">
        <w:rPr>
          <w:rFonts w:ascii="Times New Roman" w:eastAsia="Times New Roman" w:hAnsi="Times New Roman" w:cs="Times New Roman"/>
        </w:rPr>
        <w:lastRenderedPageBreak/>
        <w:t>that students' academic resilience, regardless of their socio-economic background, is a strong factor that explains their academic success (Finn &amp; Rock, 1997). The focus of this research is not to dispute or support these claims. Transparently, the researcher accepts and believes them. However, these are factors that are not within the locus of control of school administrators or teachers. The goal of this study is to provide districts and schools the tool that will support their academic goal setting without being inundated with indirect classroom variables.</w:t>
      </w:r>
    </w:p>
    <w:p w:rsidR="0010372A" w:rsidRPr="00FD3539" w:rsidRDefault="00FB3A05">
      <w:pPr>
        <w:spacing w:before="240" w:after="0" w:line="480" w:lineRule="auto"/>
        <w:ind w:firstLine="720"/>
        <w:rPr>
          <w:rFonts w:ascii="Times New Roman" w:eastAsia="Times New Roman" w:hAnsi="Times New Roman" w:cs="Times New Roman"/>
          <w:b/>
        </w:rPr>
      </w:pPr>
      <w:r w:rsidRPr="00FD3539">
        <w:rPr>
          <w:rFonts w:ascii="Times New Roman" w:eastAsia="Times New Roman" w:hAnsi="Times New Roman" w:cs="Times New Roman"/>
        </w:rPr>
        <w:t>To achieve this, the research will be divided into three groups or levels: kindergarten to 2nd grade, 3rd to 8th grade, and 9th to 10th grade. Different measures will be used including but not limited to diagnostic assessments, state tests, and Education Value-Added Assessment System (EVAAS) growth. Based on these findings, the tool will suggest achievement goals that are reflective of the district’s student population. Furthermore, this tool will also be able to identify student subgroups that are struggling, who is performing well, and in which subjects. Thus, year after year, school achievement results will progressively get closer to the state’s goal. On a related note, by projecting how students will perform on state assessments, the district is able to adjust the types of academic support teachers may need. In essence, there is a significant value in seeing results that are not favorable. In effect, knowing an undesired outcome ahead of time may lead to positive changes required to alter the future. Though the latter statement is outside of the scope of this research, it may open a new avenue for other studies to explore. To a point, interventions are only effective if they cater to the exact needs of the situation.</w:t>
      </w:r>
    </w:p>
    <w:p w:rsidR="0010372A" w:rsidRPr="00FD3539" w:rsidRDefault="00FB3A05">
      <w:pPr>
        <w:spacing w:before="240" w:after="240"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t>OVERVIEW OF STUDY</w:t>
      </w:r>
    </w:p>
    <w:p w:rsidR="0010372A" w:rsidRPr="00FD3539" w:rsidRDefault="00FB3A05">
      <w:pPr>
        <w:spacing w:before="240" w:after="0" w:line="480" w:lineRule="auto"/>
        <w:rPr>
          <w:rFonts w:ascii="Times New Roman" w:eastAsia="Times New Roman" w:hAnsi="Times New Roman" w:cs="Times New Roman"/>
        </w:rPr>
      </w:pPr>
      <w:r w:rsidRPr="00FD3539">
        <w:rPr>
          <w:rFonts w:ascii="Times New Roman" w:eastAsia="Times New Roman" w:hAnsi="Times New Roman" w:cs="Times New Roman"/>
        </w:rPr>
        <w:t xml:space="preserve">        </w:t>
      </w:r>
      <w:r w:rsidRPr="00FD3539">
        <w:rPr>
          <w:rFonts w:ascii="Times New Roman" w:eastAsia="Times New Roman" w:hAnsi="Times New Roman" w:cs="Times New Roman"/>
        </w:rPr>
        <w:tab/>
        <w:t xml:space="preserve">In a perfect world, barriers to attainment are removed and educational institutions, the community, and local businesses are willing to invest in the success of the students. Sadly, this is not the reality for struggling districts. Still, they are held to the same standards as well-funded schools. Nevertheless, the bottom line is that students must leave high school ready for college or careers. With this study, the researcher hopes to provide a simple yet impactful tool that schools can adjust and use </w:t>
      </w:r>
      <w:r w:rsidRPr="00FD3539">
        <w:rPr>
          <w:rFonts w:ascii="Times New Roman" w:eastAsia="Times New Roman" w:hAnsi="Times New Roman" w:cs="Times New Roman"/>
        </w:rPr>
        <w:lastRenderedPageBreak/>
        <w:t xml:space="preserve">based on their specific needs. By rethinking the way achievement goals are set, educators are not left feeling defeated which consequently results in students from all grade levels </w:t>
      </w:r>
      <w:r w:rsidR="003D7613">
        <w:rPr>
          <w:rFonts w:ascii="Times New Roman" w:eastAsia="Times New Roman" w:hAnsi="Times New Roman" w:cs="Times New Roman"/>
        </w:rPr>
        <w:t>to</w:t>
      </w:r>
      <w:r w:rsidRPr="00FD3539">
        <w:rPr>
          <w:rFonts w:ascii="Times New Roman" w:eastAsia="Times New Roman" w:hAnsi="Times New Roman" w:cs="Times New Roman"/>
        </w:rPr>
        <w:t xml:space="preserve"> simultaneously grow. There is no one size fits all</w:t>
      </w:r>
      <w:r w:rsidR="000F2E84">
        <w:rPr>
          <w:rFonts w:ascii="Times New Roman" w:eastAsia="Times New Roman" w:hAnsi="Times New Roman" w:cs="Times New Roman"/>
        </w:rPr>
        <w:t>,</w:t>
      </w:r>
      <w:r w:rsidRPr="00FD3539">
        <w:rPr>
          <w:rFonts w:ascii="Times New Roman" w:eastAsia="Times New Roman" w:hAnsi="Times New Roman" w:cs="Times New Roman"/>
        </w:rPr>
        <w:t xml:space="preserve"> but understanding effectiveness of the available data can be the key to improve student academic performance.</w:t>
      </w:r>
    </w:p>
    <w:p w:rsidR="0010372A" w:rsidRPr="00FD3539" w:rsidRDefault="00FB3A05">
      <w:pPr>
        <w:spacing w:before="240" w:after="0"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t>RESEARCH QUESTIONS AND HYPOTHESES</w:t>
      </w:r>
    </w:p>
    <w:p w:rsidR="0010372A" w:rsidRPr="00FD3539" w:rsidRDefault="00FB3A05">
      <w:pPr>
        <w:spacing w:before="240"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The goal of this research is two-fold: define the effective cut scores and provide achievement projections. Additionally, it will provide the analytical backbone that other districts can use to perform similar studies based on their student demographics.</w:t>
      </w:r>
    </w:p>
    <w:p w:rsidR="0010372A" w:rsidRPr="00FD3539" w:rsidRDefault="00FB3A05">
      <w:pPr>
        <w:numPr>
          <w:ilvl w:val="0"/>
          <w:numId w:val="1"/>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b/>
          <w:i/>
        </w:rPr>
        <w:t>Increase academic achievement through effective grade-level cut scores using the historical datasets.</w:t>
      </w:r>
    </w:p>
    <w:p w:rsidR="0010372A" w:rsidRPr="00FD3539" w:rsidRDefault="00FB3A05">
      <w:pPr>
        <w:numPr>
          <w:ilvl w:val="1"/>
          <w:numId w:val="1"/>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t>What is the maximum growth that is related to meeting typical end-of-year growth?</w:t>
      </w:r>
    </w:p>
    <w:p w:rsidR="0010372A" w:rsidRPr="00FD3539" w:rsidRDefault="00FB3A05">
      <w:pPr>
        <w:numPr>
          <w:ilvl w:val="2"/>
          <w:numId w:val="1"/>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t>H</w:t>
      </w:r>
      <w:r w:rsidRPr="00FD3539">
        <w:rPr>
          <w:rFonts w:ascii="Times New Roman" w:eastAsia="Times New Roman" w:hAnsi="Times New Roman" w:cs="Times New Roman"/>
          <w:vertAlign w:val="subscript"/>
        </w:rPr>
        <w:t>0</w:t>
      </w:r>
      <w:r w:rsidRPr="00FD3539">
        <w:rPr>
          <w:rFonts w:ascii="Times New Roman" w:eastAsia="Times New Roman" w:hAnsi="Times New Roman" w:cs="Times New Roman"/>
        </w:rPr>
        <w:t>: Typical growth mean is less than or equal to 20 scale score points.</w:t>
      </w:r>
    </w:p>
    <w:p w:rsidR="0010372A" w:rsidRPr="00FD3539" w:rsidRDefault="00FB3A05">
      <w:pPr>
        <w:numPr>
          <w:ilvl w:val="2"/>
          <w:numId w:val="1"/>
        </w:numPr>
        <w:spacing w:after="240" w:line="480" w:lineRule="auto"/>
        <w:rPr>
          <w:rFonts w:ascii="Times New Roman" w:eastAsia="Times New Roman" w:hAnsi="Times New Roman" w:cs="Times New Roman"/>
        </w:rPr>
      </w:pPr>
      <w:r w:rsidRPr="00FD3539">
        <w:rPr>
          <w:rFonts w:ascii="Times New Roman" w:eastAsia="Times New Roman" w:hAnsi="Times New Roman" w:cs="Times New Roman"/>
        </w:rPr>
        <w:t>H</w:t>
      </w:r>
      <w:r w:rsidRPr="00FD3539">
        <w:rPr>
          <w:rFonts w:ascii="Times New Roman" w:eastAsia="Times New Roman" w:hAnsi="Times New Roman" w:cs="Times New Roman"/>
          <w:vertAlign w:val="subscript"/>
        </w:rPr>
        <w:t>A</w:t>
      </w:r>
      <w:r w:rsidRPr="00FD3539">
        <w:rPr>
          <w:rFonts w:ascii="Times New Roman" w:eastAsia="Times New Roman" w:hAnsi="Times New Roman" w:cs="Times New Roman"/>
        </w:rPr>
        <w:t>: Typical growth mean is greater than 20 scale score points.</w:t>
      </w:r>
    </w:p>
    <w:p w:rsidR="0010372A" w:rsidRPr="00FD3539" w:rsidRDefault="00FB3A05">
      <w:pPr>
        <w:spacing w:before="240" w:after="0" w:line="480" w:lineRule="auto"/>
        <w:rPr>
          <w:rFonts w:ascii="Times New Roman" w:eastAsia="Times New Roman" w:hAnsi="Times New Roman" w:cs="Times New Roman"/>
        </w:rPr>
      </w:pPr>
      <w:r w:rsidRPr="00FD3539">
        <w:rPr>
          <w:rFonts w:ascii="Times New Roman" w:eastAsia="Times New Roman" w:hAnsi="Times New Roman" w:cs="Times New Roman"/>
        </w:rPr>
        <w:t>The current conception is that GMLSD students do not reach the average typical annual growth. By knowing the true average growth points, the district is able to set achievable cut scores and increase overall achievement performance.</w:t>
      </w:r>
    </w:p>
    <w:p w:rsidR="0010372A" w:rsidRPr="00FD3539" w:rsidRDefault="00FB3A05">
      <w:pPr>
        <w:numPr>
          <w:ilvl w:val="1"/>
          <w:numId w:val="3"/>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t>Does spending more time in EdTech programs aid in meeting typical end-of-year growth?</w:t>
      </w:r>
    </w:p>
    <w:p w:rsidR="0010372A" w:rsidRPr="00FD3539" w:rsidRDefault="00FB3A05">
      <w:pPr>
        <w:numPr>
          <w:ilvl w:val="2"/>
          <w:numId w:val="3"/>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t>H</w:t>
      </w:r>
      <w:r w:rsidRPr="00FD3539">
        <w:rPr>
          <w:rFonts w:ascii="Times New Roman" w:eastAsia="Times New Roman" w:hAnsi="Times New Roman" w:cs="Times New Roman"/>
          <w:vertAlign w:val="subscript"/>
        </w:rPr>
        <w:t>0</w:t>
      </w:r>
      <w:r w:rsidRPr="00FD3539">
        <w:rPr>
          <w:rFonts w:ascii="Times New Roman" w:eastAsia="Times New Roman" w:hAnsi="Times New Roman" w:cs="Times New Roman"/>
        </w:rPr>
        <w:t>: Time spent makes no statistically significant difference to overall growth.</w:t>
      </w:r>
    </w:p>
    <w:p w:rsidR="0010372A" w:rsidRPr="00FD3539" w:rsidRDefault="00FB3A05">
      <w:pPr>
        <w:numPr>
          <w:ilvl w:val="2"/>
          <w:numId w:val="3"/>
        </w:numPr>
        <w:spacing w:after="240" w:line="480" w:lineRule="auto"/>
        <w:rPr>
          <w:rFonts w:ascii="Times New Roman" w:eastAsia="Times New Roman" w:hAnsi="Times New Roman" w:cs="Times New Roman"/>
        </w:rPr>
      </w:pPr>
      <w:r w:rsidRPr="00FD3539">
        <w:rPr>
          <w:rFonts w:ascii="Times New Roman" w:eastAsia="Times New Roman" w:hAnsi="Times New Roman" w:cs="Times New Roman"/>
        </w:rPr>
        <w:t>H</w:t>
      </w:r>
      <w:r w:rsidRPr="00FD3539">
        <w:rPr>
          <w:rFonts w:ascii="Times New Roman" w:eastAsia="Times New Roman" w:hAnsi="Times New Roman" w:cs="Times New Roman"/>
          <w:vertAlign w:val="subscript"/>
        </w:rPr>
        <w:t>A</w:t>
      </w:r>
      <w:r w:rsidRPr="00FD3539">
        <w:rPr>
          <w:rFonts w:ascii="Times New Roman" w:eastAsia="Times New Roman" w:hAnsi="Times New Roman" w:cs="Times New Roman"/>
        </w:rPr>
        <w:t>: Time spent makes a statistically significant difference to overall growth.</w:t>
      </w:r>
    </w:p>
    <w:p w:rsidR="0010372A" w:rsidRPr="00FD3539" w:rsidRDefault="00FB3A05">
      <w:pPr>
        <w:spacing w:before="240" w:after="0" w:line="480" w:lineRule="auto"/>
        <w:rPr>
          <w:rFonts w:ascii="Times New Roman" w:eastAsia="Times New Roman" w:hAnsi="Times New Roman" w:cs="Times New Roman"/>
        </w:rPr>
      </w:pPr>
      <w:r w:rsidRPr="00FD3539">
        <w:rPr>
          <w:rFonts w:ascii="Times New Roman" w:eastAsia="Times New Roman" w:hAnsi="Times New Roman" w:cs="Times New Roman"/>
        </w:rPr>
        <w:t>Uncovering the time range that has a positive effect on growth may prove to be another avenue for educators to explore.</w:t>
      </w:r>
    </w:p>
    <w:p w:rsidR="0010372A" w:rsidRPr="00FD3539" w:rsidRDefault="00FB3A05">
      <w:pPr>
        <w:numPr>
          <w:ilvl w:val="0"/>
          <w:numId w:val="2"/>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b/>
          <w:i/>
        </w:rPr>
        <w:t>Project overall end-of-year performance using current school year’s dataset.</w:t>
      </w:r>
    </w:p>
    <w:p w:rsidR="0010372A" w:rsidRPr="00FD3539" w:rsidRDefault="00FB3A05">
      <w:pPr>
        <w:numPr>
          <w:ilvl w:val="1"/>
          <w:numId w:val="2"/>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t xml:space="preserve">Which groups are more likely to score proficient or higher on Spring state assessments? </w:t>
      </w:r>
    </w:p>
    <w:p w:rsidR="0010372A" w:rsidRPr="00FD3539" w:rsidRDefault="00FB3A05">
      <w:pPr>
        <w:numPr>
          <w:ilvl w:val="2"/>
          <w:numId w:val="2"/>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lastRenderedPageBreak/>
        <w:t>H</w:t>
      </w:r>
      <w:r w:rsidRPr="00FD3539">
        <w:rPr>
          <w:rFonts w:ascii="Times New Roman" w:eastAsia="Times New Roman" w:hAnsi="Times New Roman" w:cs="Times New Roman"/>
          <w:vertAlign w:val="subscript"/>
        </w:rPr>
        <w:t>0</w:t>
      </w:r>
      <w:r w:rsidRPr="00FD3539">
        <w:rPr>
          <w:rFonts w:ascii="Times New Roman" w:eastAsia="Times New Roman" w:hAnsi="Times New Roman" w:cs="Times New Roman"/>
        </w:rPr>
        <w:t>: New students are more likely to score proficient or higher.</w:t>
      </w:r>
    </w:p>
    <w:p w:rsidR="0010372A" w:rsidRPr="00FD3539" w:rsidRDefault="00FB3A05">
      <w:pPr>
        <w:numPr>
          <w:ilvl w:val="2"/>
          <w:numId w:val="2"/>
        </w:numPr>
        <w:spacing w:after="240" w:line="480" w:lineRule="auto"/>
        <w:rPr>
          <w:rFonts w:ascii="Times New Roman" w:eastAsia="Times New Roman" w:hAnsi="Times New Roman" w:cs="Times New Roman"/>
        </w:rPr>
      </w:pPr>
      <w:r w:rsidRPr="00FD3539">
        <w:rPr>
          <w:rFonts w:ascii="Times New Roman" w:eastAsia="Times New Roman" w:hAnsi="Times New Roman" w:cs="Times New Roman"/>
        </w:rPr>
        <w:t>H</w:t>
      </w:r>
      <w:r w:rsidRPr="00FD3539">
        <w:rPr>
          <w:rFonts w:ascii="Times New Roman" w:eastAsia="Times New Roman" w:hAnsi="Times New Roman" w:cs="Times New Roman"/>
          <w:vertAlign w:val="subscript"/>
        </w:rPr>
        <w:t>A</w:t>
      </w:r>
      <w:r w:rsidRPr="00FD3539">
        <w:rPr>
          <w:rFonts w:ascii="Times New Roman" w:eastAsia="Times New Roman" w:hAnsi="Times New Roman" w:cs="Times New Roman"/>
        </w:rPr>
        <w:t>: Students who have been with the district for at least two grade levels are more likely to score proficient or higher.</w:t>
      </w:r>
    </w:p>
    <w:p w:rsidR="0010372A" w:rsidRPr="00FD3539" w:rsidRDefault="00FB3A05">
      <w:pPr>
        <w:spacing w:before="240" w:after="0" w:line="480" w:lineRule="auto"/>
        <w:rPr>
          <w:rFonts w:ascii="Times New Roman" w:eastAsia="Times New Roman" w:hAnsi="Times New Roman" w:cs="Times New Roman"/>
        </w:rPr>
      </w:pPr>
      <w:r w:rsidRPr="00FD3539">
        <w:rPr>
          <w:rFonts w:ascii="Times New Roman" w:eastAsia="Times New Roman" w:hAnsi="Times New Roman" w:cs="Times New Roman"/>
        </w:rPr>
        <w:t>There is value in knowing if there is a “power of program” effect. On the other hand, if students are performing worse over the years, it might be worth revisiting the overall curriculum.</w:t>
      </w:r>
    </w:p>
    <w:p w:rsidR="0010372A" w:rsidRPr="00FD3539" w:rsidRDefault="00FB3A05">
      <w:pPr>
        <w:numPr>
          <w:ilvl w:val="1"/>
          <w:numId w:val="2"/>
        </w:numPr>
        <w:spacing w:before="240" w:after="0" w:line="480" w:lineRule="auto"/>
        <w:rPr>
          <w:rFonts w:ascii="Times New Roman" w:eastAsia="Times New Roman" w:hAnsi="Times New Roman" w:cs="Times New Roman"/>
        </w:rPr>
      </w:pPr>
      <w:r w:rsidRPr="00FD3539">
        <w:rPr>
          <w:rFonts w:ascii="Times New Roman" w:eastAsia="Times New Roman" w:hAnsi="Times New Roman" w:cs="Times New Roman"/>
        </w:rPr>
        <w:t>Do students below grade level grow?</w:t>
      </w:r>
    </w:p>
    <w:p w:rsidR="0010372A" w:rsidRPr="00FD3539" w:rsidRDefault="00FB3A05">
      <w:pPr>
        <w:numPr>
          <w:ilvl w:val="2"/>
          <w:numId w:val="2"/>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t>H</w:t>
      </w:r>
      <w:r w:rsidRPr="00FD3539">
        <w:rPr>
          <w:rFonts w:ascii="Times New Roman" w:eastAsia="Times New Roman" w:hAnsi="Times New Roman" w:cs="Times New Roman"/>
          <w:vertAlign w:val="subscript"/>
        </w:rPr>
        <w:t>0</w:t>
      </w:r>
      <w:r w:rsidRPr="00FD3539">
        <w:rPr>
          <w:rFonts w:ascii="Times New Roman" w:eastAsia="Times New Roman" w:hAnsi="Times New Roman" w:cs="Times New Roman"/>
        </w:rPr>
        <w:t>: Students below grade level do not show statistically significant growth in a single school year.</w:t>
      </w:r>
    </w:p>
    <w:p w:rsidR="0010372A" w:rsidRPr="00FD3539" w:rsidRDefault="00FB3A05">
      <w:pPr>
        <w:numPr>
          <w:ilvl w:val="2"/>
          <w:numId w:val="2"/>
        </w:num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t>H</w:t>
      </w:r>
      <w:r w:rsidRPr="00FD3539">
        <w:rPr>
          <w:rFonts w:ascii="Times New Roman" w:eastAsia="Times New Roman" w:hAnsi="Times New Roman" w:cs="Times New Roman"/>
          <w:vertAlign w:val="subscript"/>
        </w:rPr>
        <w:t>A</w:t>
      </w:r>
      <w:r w:rsidRPr="00FD3539">
        <w:rPr>
          <w:rFonts w:ascii="Times New Roman" w:eastAsia="Times New Roman" w:hAnsi="Times New Roman" w:cs="Times New Roman"/>
        </w:rPr>
        <w:t>: Students below grade level do show statistically significant growth in a single school year.</w:t>
      </w:r>
    </w:p>
    <w:p w:rsidR="0010372A" w:rsidRPr="00FD3539" w:rsidRDefault="00FB3A05">
      <w:pPr>
        <w:spacing w:before="240" w:after="0" w:line="480" w:lineRule="auto"/>
        <w:rPr>
          <w:rFonts w:ascii="Times New Roman" w:eastAsia="Times New Roman" w:hAnsi="Times New Roman" w:cs="Times New Roman"/>
        </w:rPr>
      </w:pPr>
      <w:r w:rsidRPr="00FD3539">
        <w:rPr>
          <w:rFonts w:ascii="Times New Roman" w:eastAsia="Times New Roman" w:hAnsi="Times New Roman" w:cs="Times New Roman"/>
        </w:rPr>
        <w:t>If determined that below grade level students show significant growth, coupling this knowledge with Research Question 1 may produce very encouraging end-of-year proficiency performance.</w:t>
      </w:r>
    </w:p>
    <w:p w:rsidR="0010372A" w:rsidRPr="00FD3539" w:rsidRDefault="00FB3A05">
      <w:pPr>
        <w:spacing w:before="240" w:after="0"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t>LITERATURE REVIEW</w:t>
      </w:r>
    </w:p>
    <w:p w:rsidR="0010372A" w:rsidRPr="00FD3539" w:rsidRDefault="00FB3A05">
      <w:pPr>
        <w:spacing w:before="240"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 xml:space="preserve">Most schools focus on using the data to fulfill state and federal accountability rather than improving the overall teaching and learning practices. As a result, the benefits that guide data-informed decision-making seldom exist in districts based on their specific needs. Although plenty of research has shown that leveraging this resource can make it possible, it must be coupled with intentional strategies. A study conducted by Carlson et al. (1997) of 32 principals from various urban Chicago schools listed 13 strategies that led to the increase in student achievement. One of these strategies is setting clear goals and standards along with increased time on task. The data showed that students can flourish academically regardless of their economic background, race, and other challenges. The findings of this research </w:t>
      </w:r>
      <w:r w:rsidR="00096BA3" w:rsidRPr="00FD3539">
        <w:rPr>
          <w:rFonts w:ascii="Times New Roman" w:eastAsia="Times New Roman" w:hAnsi="Times New Roman" w:cs="Times New Roman"/>
        </w:rPr>
        <w:t>support</w:t>
      </w:r>
      <w:r w:rsidRPr="00FD3539">
        <w:rPr>
          <w:rFonts w:ascii="Times New Roman" w:eastAsia="Times New Roman" w:hAnsi="Times New Roman" w:cs="Times New Roman"/>
        </w:rPr>
        <w:t xml:space="preserve"> the author’s claim that by establishing clear and achievable goals, both staff and students are set up for </w:t>
      </w:r>
      <w:r w:rsidRPr="00FD3539">
        <w:rPr>
          <w:rFonts w:ascii="Times New Roman" w:eastAsia="Times New Roman" w:hAnsi="Times New Roman" w:cs="Times New Roman"/>
        </w:rPr>
        <w:lastRenderedPageBreak/>
        <w:t>success. Specifically, a culture of achievement founded with high-performance standards provides educators the reflection and development needed to drive academic success.</w:t>
      </w:r>
    </w:p>
    <w:p w:rsidR="0010372A" w:rsidRPr="00FD3539" w:rsidRDefault="00FB3A05">
      <w:pPr>
        <w:spacing w:before="240" w:after="0" w:line="480" w:lineRule="auto"/>
        <w:rPr>
          <w:rFonts w:ascii="Times New Roman" w:eastAsia="Times New Roman" w:hAnsi="Times New Roman" w:cs="Times New Roman"/>
        </w:rPr>
      </w:pPr>
      <w:r w:rsidRPr="00FD3539">
        <w:rPr>
          <w:rFonts w:ascii="Times New Roman" w:eastAsia="Times New Roman" w:hAnsi="Times New Roman" w:cs="Times New Roman"/>
        </w:rPr>
        <w:t xml:space="preserve">        </w:t>
      </w:r>
      <w:r w:rsidRPr="00FD3539">
        <w:rPr>
          <w:rFonts w:ascii="Times New Roman" w:eastAsia="Times New Roman" w:hAnsi="Times New Roman" w:cs="Times New Roman"/>
        </w:rPr>
        <w:tab/>
        <w:t>There is a lot at stake with this information. The use of student achievement, especially state standardized tests, has become a primary indicator of schools and educators. It is not correct or fair, but unfortunately, it is a well-accepted behavior. This culture is hard to change so instead, efforts are better allocated to create better tools to alter the academic decline. Specifically, a tool that enables data to align, integrate, and support multiple components of the school system. The first step towards this effort, as Murray (2014) suggests, is to eliminate the confusion about how and when to use specific types of data. He also argues that data should be used to inform rather than drive decisions. This is very important to the author’s research. For one, cut-scores are not meant to be set in stone</w:t>
      </w:r>
      <w:r w:rsidR="00CE3C10">
        <w:rPr>
          <w:rFonts w:ascii="Times New Roman" w:eastAsia="Times New Roman" w:hAnsi="Times New Roman" w:cs="Times New Roman"/>
        </w:rPr>
        <w:t>;</w:t>
      </w:r>
      <w:r w:rsidRPr="00FD3539">
        <w:rPr>
          <w:rFonts w:ascii="Times New Roman" w:eastAsia="Times New Roman" w:hAnsi="Times New Roman" w:cs="Times New Roman"/>
        </w:rPr>
        <w:t xml:space="preserve"> they are dynamic to reflect the systematic approaches of schools. Second, a sole focus on these numbers would not bring the desired compounding growth.</w:t>
      </w:r>
    </w:p>
    <w:p w:rsidR="0010372A" w:rsidRPr="00FD3539" w:rsidRDefault="00FB3A05">
      <w:pPr>
        <w:spacing w:before="240"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 xml:space="preserve">Academic analytical tools, from descriptive to prescriptive, are not new. There have been many efforts to even digitalize and analyze other variables that are believed to influence student outcomes which includes social media. Further, traditional business analytics has influenced many private EdTech companies to take advantage of the considerable benefits they bring. Still, and as </w:t>
      </w:r>
      <w:proofErr w:type="spellStart"/>
      <w:r w:rsidRPr="00FD3539">
        <w:rPr>
          <w:rFonts w:ascii="Times New Roman" w:eastAsia="Times New Roman" w:hAnsi="Times New Roman" w:cs="Times New Roman"/>
        </w:rPr>
        <w:t>Cazier</w:t>
      </w:r>
      <w:proofErr w:type="spellEnd"/>
      <w:r w:rsidRPr="00FD3539">
        <w:rPr>
          <w:rFonts w:ascii="Times New Roman" w:eastAsia="Times New Roman" w:hAnsi="Times New Roman" w:cs="Times New Roman"/>
        </w:rPr>
        <w:t xml:space="preserve"> et al. (2015) also points out, the benefits of analytics in education are still not fully realized. Although the scope of their thesis is beyond the goals of this research, it proves that much more needs to be done to capture valuable information to fully develop a predictive analytical tool. </w:t>
      </w:r>
      <w:r w:rsidR="00B63721">
        <w:rPr>
          <w:rFonts w:ascii="Times New Roman" w:eastAsia="Times New Roman" w:hAnsi="Times New Roman" w:cs="Times New Roman"/>
        </w:rPr>
        <w:t>This is even</w:t>
      </w:r>
      <w:r w:rsidRPr="00FD3539">
        <w:rPr>
          <w:rFonts w:ascii="Times New Roman" w:eastAsia="Times New Roman" w:hAnsi="Times New Roman" w:cs="Times New Roman"/>
        </w:rPr>
        <w:t xml:space="preserve"> more </w:t>
      </w:r>
      <w:r w:rsidR="00B63721">
        <w:rPr>
          <w:rFonts w:ascii="Times New Roman" w:eastAsia="Times New Roman" w:hAnsi="Times New Roman" w:cs="Times New Roman"/>
        </w:rPr>
        <w:t>true</w:t>
      </w:r>
      <w:r w:rsidRPr="00FD3539">
        <w:rPr>
          <w:rFonts w:ascii="Times New Roman" w:eastAsia="Times New Roman" w:hAnsi="Times New Roman" w:cs="Times New Roman"/>
        </w:rPr>
        <w:t xml:space="preserve"> if the goal includes a prescriptive purpose. On a more measurable note, the ability to identify students’ strengths and weaknesses can be enough to build a predictive model along with key performance indicators.</w:t>
      </w:r>
    </w:p>
    <w:p w:rsidR="0010372A" w:rsidRPr="00FD3539" w:rsidRDefault="00FB3A05">
      <w:pPr>
        <w:spacing w:before="240" w:after="0" w:line="480" w:lineRule="auto"/>
        <w:rPr>
          <w:rFonts w:ascii="Times New Roman" w:eastAsia="Times New Roman" w:hAnsi="Times New Roman" w:cs="Times New Roman"/>
        </w:rPr>
      </w:pPr>
      <w:r w:rsidRPr="00FD3539">
        <w:rPr>
          <w:rFonts w:ascii="Times New Roman" w:eastAsia="Times New Roman" w:hAnsi="Times New Roman" w:cs="Times New Roman"/>
        </w:rPr>
        <w:t xml:space="preserve">        </w:t>
      </w:r>
      <w:r w:rsidRPr="00FD3539">
        <w:rPr>
          <w:rFonts w:ascii="Times New Roman" w:eastAsia="Times New Roman" w:hAnsi="Times New Roman" w:cs="Times New Roman"/>
        </w:rPr>
        <w:tab/>
        <w:t xml:space="preserve">As a final note, there is no arguing that data analytics has the potential to help at-risk students. However, there must be equal efforts to propel well-performing students, as well. This is why, though it may sound controversial, it is inevitable that students are divided into subgroups. For instance, as Finn &amp; </w:t>
      </w:r>
      <w:r w:rsidRPr="00FD3539">
        <w:rPr>
          <w:rFonts w:ascii="Times New Roman" w:eastAsia="Times New Roman" w:hAnsi="Times New Roman" w:cs="Times New Roman"/>
        </w:rPr>
        <w:lastRenderedPageBreak/>
        <w:t>Rock (1997) point out, pre-identified groups allow the accurate measurement in the variances of each test measurement. Also, grouping highlights unpopular facts. Namely, Black students are more transient than others which have been statistically proven to increase the likelihood of disengagement and drop-outs. Another predictor is class-size which, for under-funded districts, tends to be in the upper range. Afterall, it has been shown that schools with smaller class sizes encourage more student engagement which fosters positive behavior (Finn &amp; Rock, 1997). This research, along with the three mentioned earlier, show that although studies of educational institutions are available, there is plenty more room to identify solutions that improve student achievement. Perhaps, instead of looking at things more broadly, research should be dialed down to individual districts and identify those unique needs.</w:t>
      </w:r>
    </w:p>
    <w:p w:rsidR="0010372A" w:rsidRPr="00FD3539" w:rsidRDefault="00FB3A05">
      <w:pPr>
        <w:spacing w:before="240" w:after="0"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t>RESEARCH DESIGN</w:t>
      </w:r>
    </w:p>
    <w:p w:rsidR="0010372A" w:rsidRPr="00FD3539" w:rsidRDefault="00FB3A05">
      <w:pPr>
        <w:spacing w:before="240" w:after="240" w:line="480" w:lineRule="auto"/>
        <w:rPr>
          <w:rFonts w:ascii="Times New Roman" w:eastAsia="Times New Roman" w:hAnsi="Times New Roman" w:cs="Times New Roman"/>
          <w:b/>
        </w:rPr>
      </w:pPr>
      <w:r w:rsidRPr="00FD3539">
        <w:rPr>
          <w:rFonts w:ascii="Times New Roman" w:eastAsia="Times New Roman" w:hAnsi="Times New Roman" w:cs="Times New Roman"/>
          <w:b/>
        </w:rPr>
        <w:t>Methodology</w:t>
      </w:r>
    </w:p>
    <w:p w:rsidR="0010372A" w:rsidRPr="00FD3539" w:rsidRDefault="00FB3A05">
      <w:pPr>
        <w:spacing w:before="240" w:after="240" w:line="480" w:lineRule="auto"/>
        <w:rPr>
          <w:rFonts w:ascii="Times New Roman" w:eastAsia="Times New Roman" w:hAnsi="Times New Roman" w:cs="Times New Roman"/>
        </w:rPr>
      </w:pPr>
      <w:r w:rsidRPr="00FD3539">
        <w:rPr>
          <w:rFonts w:ascii="Times New Roman" w:eastAsia="Times New Roman" w:hAnsi="Times New Roman" w:cs="Times New Roman"/>
          <w:b/>
        </w:rPr>
        <w:t xml:space="preserve">        </w:t>
      </w:r>
      <w:r w:rsidRPr="00FD3539">
        <w:rPr>
          <w:rFonts w:ascii="Times New Roman" w:eastAsia="Times New Roman" w:hAnsi="Times New Roman" w:cs="Times New Roman"/>
          <w:b/>
        </w:rPr>
        <w:tab/>
      </w:r>
      <w:r w:rsidRPr="00FD3539">
        <w:rPr>
          <w:rFonts w:ascii="Times New Roman" w:eastAsia="Times New Roman" w:hAnsi="Times New Roman" w:cs="Times New Roman"/>
        </w:rPr>
        <w:t xml:space="preserve"> The research will be divided into three groups or levels: kindergarten to 2nd grade, 3rd to 8th grade, and 9th to 10th grade. Different quantitative measures will be used including but not limited to diagnostic assessments, state tests, and Education Value-Added Assessment System (EVAAS) growth. Due to its non-experimental design, the research will not perform complicated statistical analyses or blind studies. Additionally, the data required are readily available as all public schools must collect them to be compliant with the Educational Management Information System (EMIS). Essentially, this research will provide the needed navigation system that will allow districts to create SMART goals and harness the power of their own data. Note that it is anticipated that multiple cycles of data exploration and clean-up will occur during analysis.</w:t>
      </w:r>
    </w:p>
    <w:p w:rsidR="0010372A" w:rsidRPr="00FD3539" w:rsidRDefault="00FB3A05">
      <w:pPr>
        <w:spacing w:before="240" w:after="240" w:line="480" w:lineRule="auto"/>
        <w:rPr>
          <w:rFonts w:ascii="Times New Roman" w:eastAsia="Times New Roman" w:hAnsi="Times New Roman" w:cs="Times New Roman"/>
          <w:b/>
        </w:rPr>
      </w:pPr>
      <w:r w:rsidRPr="00FD3539">
        <w:rPr>
          <w:rFonts w:ascii="Times New Roman" w:eastAsia="Times New Roman" w:hAnsi="Times New Roman" w:cs="Times New Roman"/>
          <w:b/>
        </w:rPr>
        <w:t>Methods</w:t>
      </w:r>
    </w:p>
    <w:p w:rsidR="0010372A" w:rsidRPr="00FD3539" w:rsidRDefault="00FB3A05">
      <w:pPr>
        <w:spacing w:before="240" w:after="240" w:line="480" w:lineRule="auto"/>
        <w:rPr>
          <w:rFonts w:ascii="Times New Roman" w:eastAsia="Times New Roman" w:hAnsi="Times New Roman" w:cs="Times New Roman"/>
        </w:rPr>
      </w:pPr>
      <w:r w:rsidRPr="00FD3539">
        <w:rPr>
          <w:rFonts w:ascii="Times New Roman" w:eastAsia="Times New Roman" w:hAnsi="Times New Roman" w:cs="Times New Roman"/>
        </w:rPr>
        <w:t xml:space="preserve">        </w:t>
      </w:r>
      <w:r w:rsidRPr="00FD3539">
        <w:rPr>
          <w:rFonts w:ascii="Times New Roman" w:eastAsia="Times New Roman" w:hAnsi="Times New Roman" w:cs="Times New Roman"/>
        </w:rPr>
        <w:tab/>
        <w:t xml:space="preserve">In order to answer the first research goal, a combination of a one-sample T-test and Wilcoxon test will be used. By comparing the observed mean with the known or hypothesized value, the district can </w:t>
      </w:r>
      <w:r w:rsidRPr="00FD3539">
        <w:rPr>
          <w:rFonts w:ascii="Times New Roman" w:eastAsia="Times New Roman" w:hAnsi="Times New Roman" w:cs="Times New Roman"/>
        </w:rPr>
        <w:lastRenderedPageBreak/>
        <w:t>certainly determine if there is enough evidence to dispute the unscientifically held idea. Based on the results, suggestions of typical growth adjustment may be required. For research question 2, the Wilcoxon test compares two paired groups and determines if they are different from each other in a statistically significant manner (Elliott &amp; Woodward, 2015). Specifically, the Wilcoxon test will highlight if minutes spent using curated lessons from EdTech programs work better.</w:t>
      </w:r>
    </w:p>
    <w:p w:rsidR="0010372A" w:rsidRPr="00FD3539" w:rsidRDefault="00FB3A05">
      <w:pPr>
        <w:spacing w:before="240"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 xml:space="preserve">For the second research goal, a Kruskal-Wallis test will be used. The Kruskal-Wallis test is an extension of the Wilcoxon test which is applicable to two or more independent samples (Elliott &amp; Woodward, 2015). By comparing the independent variable, </w:t>
      </w:r>
      <w:proofErr w:type="spellStart"/>
      <w:r w:rsidRPr="00FD3539">
        <w:rPr>
          <w:rFonts w:ascii="Times New Roman" w:eastAsia="Times New Roman" w:hAnsi="Times New Roman" w:cs="Times New Roman"/>
          <w:i/>
        </w:rPr>
        <w:t>group_id</w:t>
      </w:r>
      <w:proofErr w:type="spellEnd"/>
      <w:r w:rsidRPr="00FD3539">
        <w:rPr>
          <w:rFonts w:ascii="Times New Roman" w:eastAsia="Times New Roman" w:hAnsi="Times New Roman" w:cs="Times New Roman"/>
        </w:rPr>
        <w:t>, based on previous and current Reading and Math percentiles, the district will know which group is most likely to improve. Lastly, an analysis of variance (ANOVA) test effectively compares three or more means across groups or compares three or more dependent samples (SAS Institute, 2017). Since only a specific group will be tested here, comparing their means side-by-side provides insight on predicting end-of-year performance. In other words, students who perform poorly on diagnostic assessments, when compared to their peers of the same level, may show a tertiary-subgroup that are likely to be reachable without inserting too much effort.</w:t>
      </w:r>
    </w:p>
    <w:p w:rsidR="0010372A" w:rsidRPr="00FD3539" w:rsidRDefault="00FB3A05">
      <w:pPr>
        <w:spacing w:before="240" w:after="240" w:line="480" w:lineRule="auto"/>
        <w:rPr>
          <w:rFonts w:ascii="Times New Roman" w:eastAsia="Times New Roman" w:hAnsi="Times New Roman" w:cs="Times New Roman"/>
          <w:b/>
        </w:rPr>
      </w:pPr>
      <w:r w:rsidRPr="00FD3539">
        <w:rPr>
          <w:rFonts w:ascii="Times New Roman" w:eastAsia="Times New Roman" w:hAnsi="Times New Roman" w:cs="Times New Roman"/>
          <w:b/>
        </w:rPr>
        <w:t>Limitations</w:t>
      </w:r>
    </w:p>
    <w:p w:rsidR="0010372A" w:rsidRPr="00FD3539" w:rsidRDefault="00FB3A05">
      <w:pPr>
        <w:spacing w:before="240" w:after="240" w:line="480" w:lineRule="auto"/>
        <w:rPr>
          <w:rFonts w:ascii="Times New Roman" w:eastAsia="Times New Roman" w:hAnsi="Times New Roman" w:cs="Times New Roman"/>
          <w:b/>
        </w:rPr>
      </w:pPr>
      <w:r w:rsidRPr="00FD3539">
        <w:rPr>
          <w:rFonts w:ascii="Times New Roman" w:eastAsia="Times New Roman" w:hAnsi="Times New Roman" w:cs="Times New Roman"/>
          <w:b/>
        </w:rPr>
        <w:t xml:space="preserve">        </w:t>
      </w:r>
      <w:r w:rsidRPr="00FD3539">
        <w:rPr>
          <w:rFonts w:ascii="Times New Roman" w:eastAsia="Times New Roman" w:hAnsi="Times New Roman" w:cs="Times New Roman"/>
          <w:b/>
        </w:rPr>
        <w:tab/>
      </w:r>
      <w:r w:rsidRPr="00FD3539">
        <w:rPr>
          <w:rFonts w:ascii="Times New Roman" w:eastAsia="Times New Roman" w:hAnsi="Times New Roman" w:cs="Times New Roman"/>
        </w:rPr>
        <w:t xml:space="preserve">Although it may seem that the effects of the pandemic have passed, the disruption it has caused still looms greatly. For instance, remote learning and the cancellation of state assessments has resulted in non-continuous data. This is not unique to this project. Additionally, school districts often change their diagnostic programs, which in this case, resulted in obtaining only </w:t>
      </w:r>
      <w:r w:rsidR="00FB1221">
        <w:rPr>
          <w:rFonts w:ascii="Times New Roman" w:eastAsia="Times New Roman" w:hAnsi="Times New Roman" w:cs="Times New Roman"/>
        </w:rPr>
        <w:t>two</w:t>
      </w:r>
      <w:r w:rsidRPr="00FD3539">
        <w:rPr>
          <w:rFonts w:ascii="Times New Roman" w:eastAsia="Times New Roman" w:hAnsi="Times New Roman" w:cs="Times New Roman"/>
        </w:rPr>
        <w:t xml:space="preserve"> years’ worth of data. One of which is during a school year that was still affected by remote learning. In a different light, since the data used are purely academic and noting the results in literature reviews, there are aspects of the results that could be easily challenged. For example, one could argue that it is more important to include students’ social and emotional learning data than minutes on a platform. However, due to the limitations of the information available, the academic variable is preferred. </w:t>
      </w:r>
    </w:p>
    <w:p w:rsidR="0010372A" w:rsidRPr="00FD3539" w:rsidRDefault="00FB3A05">
      <w:pPr>
        <w:widowControl w:val="0"/>
        <w:spacing w:before="240" w:after="240" w:line="480" w:lineRule="auto"/>
        <w:rPr>
          <w:rFonts w:ascii="Times New Roman" w:eastAsia="Times New Roman" w:hAnsi="Times New Roman" w:cs="Times New Roman"/>
          <w:b/>
        </w:rPr>
      </w:pPr>
      <w:r w:rsidRPr="00FD3539">
        <w:rPr>
          <w:rFonts w:ascii="Times New Roman" w:eastAsia="Times New Roman" w:hAnsi="Times New Roman" w:cs="Times New Roman"/>
          <w:b/>
        </w:rPr>
        <w:lastRenderedPageBreak/>
        <w:t>Ethical and Legal Considerations</w:t>
      </w:r>
    </w:p>
    <w:p w:rsidR="0010372A" w:rsidRPr="00FD3539" w:rsidRDefault="00FB3A05">
      <w:pPr>
        <w:widowControl w:val="0"/>
        <w:spacing w:before="240"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In 1974, Family Educational Rights and Privacy Act (FERPA) was enacted and its main purpose was to oversee the privacy, discharge, and accuracy of educational records and to ensure that administrators and instructors protect student information at all costs (</w:t>
      </w:r>
      <w:proofErr w:type="spellStart"/>
      <w:r w:rsidRPr="00FD3539">
        <w:rPr>
          <w:rFonts w:ascii="Times New Roman" w:eastAsia="Times New Roman" w:hAnsi="Times New Roman" w:cs="Times New Roman"/>
        </w:rPr>
        <w:t>Toglia</w:t>
      </w:r>
      <w:proofErr w:type="spellEnd"/>
      <w:r w:rsidRPr="00FD3539">
        <w:rPr>
          <w:rFonts w:ascii="Times New Roman" w:eastAsia="Times New Roman" w:hAnsi="Times New Roman" w:cs="Times New Roman"/>
        </w:rPr>
        <w:t>, 2007). In the K-12 public school sector, FERPA has a significant importance to both inside and outside of the classroom as it provides explicit regulations regarding the release of students’ educational records. Documents containing these records can include a student’s date and place of birth, parental information, grades, test scores, courses taken, demographics, disciplinary records, attendance, medical records, and so on. Moreover, these personally identifiable information (PII) can exist in both physical and electronic forms. Regardless of the format, the release and access of these records must be approved by the parent or guardian of the student. In this instance, because the data consists of test records, permission was acquired through the district. A legal document highlighting misuse and unauthorized release of PII was signed by the researcher.</w:t>
      </w:r>
    </w:p>
    <w:p w:rsidR="0010372A" w:rsidRPr="00FD3539" w:rsidRDefault="00FB3A05">
      <w:pPr>
        <w:spacing w:before="240" w:after="0" w:line="480" w:lineRule="auto"/>
        <w:rPr>
          <w:rFonts w:ascii="Times New Roman" w:eastAsia="Times New Roman" w:hAnsi="Times New Roman" w:cs="Times New Roman"/>
        </w:rPr>
      </w:pPr>
      <w:r w:rsidRPr="00FD3539">
        <w:rPr>
          <w:rFonts w:ascii="Times New Roman" w:eastAsia="Times New Roman" w:hAnsi="Times New Roman" w:cs="Times New Roman"/>
        </w:rPr>
        <w:t xml:space="preserve">        </w:t>
      </w:r>
      <w:r w:rsidRPr="00FD3539">
        <w:rPr>
          <w:rFonts w:ascii="Times New Roman" w:eastAsia="Times New Roman" w:hAnsi="Times New Roman" w:cs="Times New Roman"/>
        </w:rPr>
        <w:tab/>
        <w:t xml:space="preserve">In addition to the legal ramifications, ethical policies must also be followed. </w:t>
      </w:r>
      <w:proofErr w:type="spellStart"/>
      <w:r w:rsidRPr="00FD3539">
        <w:rPr>
          <w:rFonts w:ascii="Times New Roman" w:eastAsia="Times New Roman" w:hAnsi="Times New Roman" w:cs="Times New Roman"/>
        </w:rPr>
        <w:t>Gajjar</w:t>
      </w:r>
      <w:proofErr w:type="spellEnd"/>
      <w:r w:rsidRPr="00FD3539">
        <w:rPr>
          <w:rFonts w:ascii="Times New Roman" w:eastAsia="Times New Roman" w:hAnsi="Times New Roman" w:cs="Times New Roman"/>
        </w:rPr>
        <w:t xml:space="preserve"> (2013) suggests the following five core principles for research ethics: cite intellectual property properly, be conscious of multiple roles, follow informed-consent rules, respect confidentiality and privacy, and consider other ethical obligations from other researchers. Specifically in this research, since there will be a comparison to the existing cut scores provided by EdTech programs, proper citing will be included. Moreover, regardless of the results, the employability and reputations of educators must not be compromised. In other words, the factors considered in this research will not be directly tied to a specific individual. In regards to students, there will be reasonable efforts to avoid deducing that groups should be treated inconsistently. For example, although some students may require more academic focus and one-on-one tutoring, these efforts should not take away from those who also perform well. Equal treatment must be provided though they may look differently.</w:t>
      </w:r>
    </w:p>
    <w:p w:rsidR="0010372A" w:rsidRPr="00FD3539" w:rsidRDefault="00FB3A05">
      <w:pPr>
        <w:widowControl w:val="0"/>
        <w:spacing w:before="240" w:after="0"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lastRenderedPageBreak/>
        <w:t>TRANSITIONAL CONCLUSION</w:t>
      </w:r>
    </w:p>
    <w:p w:rsidR="0010372A" w:rsidRPr="00FD3539" w:rsidRDefault="00FB3A05">
      <w:pPr>
        <w:widowControl w:val="0"/>
        <w:spacing w:before="240" w:after="240" w:line="480" w:lineRule="auto"/>
        <w:rPr>
          <w:rFonts w:ascii="Times New Roman" w:eastAsia="Times New Roman" w:hAnsi="Times New Roman" w:cs="Times New Roman"/>
        </w:rPr>
      </w:pPr>
      <w:r w:rsidRPr="00FD3539">
        <w:rPr>
          <w:rFonts w:ascii="Times New Roman" w:eastAsia="Times New Roman" w:hAnsi="Times New Roman" w:cs="Times New Roman"/>
        </w:rPr>
        <w:t xml:space="preserve">        </w:t>
      </w:r>
      <w:r w:rsidRPr="00FD3539">
        <w:rPr>
          <w:rFonts w:ascii="Times New Roman" w:eastAsia="Times New Roman" w:hAnsi="Times New Roman" w:cs="Times New Roman"/>
        </w:rPr>
        <w:tab/>
        <w:t>In this first draft, introduction, objectives, research question and hypotheses, literature reviews, and research design were provided. So far, the foundation of the study has been theoretical and with only the support of previous studies. However, the major point of this study is yet to be revealed. While the data is poised for statistical analyses, no actual testing has begun. Therefore, the author was cautious to make a strong claim on any of the sections mentioned above. By virtue, the study is not tainted by known information and the reader should feel confident that the study has not been altered to skew towards the author’s claims. This study is meant to be educational to the reader as much as it is for the researcher. With that said, should the null hypothesis be rejected, the author suggests additional tests instead of accepting the alternative hypothesis. Standards goal setting, especially in education, is complicated and should not be deduced to a single person’s conclusion. In other words, there is nothing more detrimental to growth than being complacent. Therefore, as the results come in, the report shall evolve only to communicate those findings and nothing more. Suggestions for future studies and/or adjustments to the study may be included.</w:t>
      </w:r>
    </w:p>
    <w:p w:rsidR="0010372A" w:rsidRPr="00FD3539" w:rsidRDefault="00FB3A05">
      <w:pPr>
        <w:spacing w:before="240" w:after="240"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t>FINDINGS</w:t>
      </w:r>
    </w:p>
    <w:p w:rsidR="0010372A" w:rsidRPr="00FD3539" w:rsidRDefault="00FB3A05">
      <w:pPr>
        <w:spacing w:line="480" w:lineRule="auto"/>
        <w:rPr>
          <w:rFonts w:ascii="Times New Roman" w:eastAsia="Times New Roman" w:hAnsi="Times New Roman" w:cs="Times New Roman"/>
        </w:rPr>
      </w:pPr>
      <w:r w:rsidRPr="00FD3539">
        <w:rPr>
          <w:rFonts w:ascii="Times New Roman" w:eastAsia="Times New Roman" w:hAnsi="Times New Roman" w:cs="Times New Roman"/>
        </w:rPr>
        <w:tab/>
        <w:t xml:space="preserve">Recall that the purpose of this research was to build a tool that will help districts calculate effective cut scores and provide projections. Therefore, the statistical results are based on the entire student population as many districts do not set different goals per grade level based on subgroups. However, the Tableau dashboard will allow the user to navigate through the different cut scores for the subgroups, if desired. With that said, the first step is to determine the typical annual growth per grade level. Since many administrators and teachers believe, and perpetuated by iReady trainers, that students who grow 20 points from Fall to Spring administration would be on-track to proficiency by the time they take the Spring administration, the researcher wanted to test this theory. Table 1 shows the t-test results with Figure 1 as supporting evidence. Evidently, younger students, specifically grades kindergarten </w:t>
      </w:r>
      <w:r w:rsidRPr="00FD3539">
        <w:rPr>
          <w:rFonts w:ascii="Times New Roman" w:eastAsia="Times New Roman" w:hAnsi="Times New Roman" w:cs="Times New Roman"/>
        </w:rPr>
        <w:lastRenderedPageBreak/>
        <w:t xml:space="preserve">through 4th grade, have the highest observable growth. However, starting 5th grade, the growth tapers off to less than 20 points. Obviously, this is concerning and should be addressed but knowing that younger students have the ability to grow rapidly is very encouraging. Consequently, since there seems to be a band where the null hypothesis is true and where it is false, accepting it is not straightforward. For grades kindergarten through 4th, the null hypothesis should be rejected and noted that students show much higher growth points. On the other hand, 5th through 8th seem to accept the null hypothesis but should note why that is. The researcher recommends further analyses on this specific grade band. </w:t>
      </w: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t>Table 1</w:t>
      </w:r>
    </w:p>
    <w:p w:rsidR="0010372A" w:rsidRPr="00FD3539" w:rsidRDefault="00FB3A05">
      <w:pPr>
        <w:spacing w:after="0" w:line="480" w:lineRule="auto"/>
        <w:rPr>
          <w:rFonts w:ascii="Times New Roman" w:eastAsia="Times New Roman" w:hAnsi="Times New Roman" w:cs="Times New Roman"/>
        </w:rPr>
      </w:pPr>
      <w:r w:rsidRPr="00FD3539">
        <w:rPr>
          <w:rFonts w:ascii="Times New Roman" w:eastAsia="Times New Roman" w:hAnsi="Times New Roman" w:cs="Times New Roman"/>
          <w:i/>
        </w:rPr>
        <w:t xml:space="preserve">One-sample t-test results for Math and Reading by grade level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b/>
              </w:rPr>
            </w:pPr>
            <w:r w:rsidRPr="00FD3539">
              <w:rPr>
                <w:rFonts w:ascii="Times New Roman" w:eastAsia="Times New Roman" w:hAnsi="Times New Roman" w:cs="Times New Roman"/>
                <w:b/>
              </w:rPr>
              <w:t>Math Diagnostic</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 xml:space="preserve">Typical Growth </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Frequency/ Peaks</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95% CL Mean</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t Value</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proofErr w:type="spellStart"/>
            <w:r w:rsidRPr="00FD3539">
              <w:rPr>
                <w:rFonts w:ascii="Times New Roman" w:eastAsia="Times New Roman" w:hAnsi="Times New Roman" w:cs="Times New Roman"/>
                <w:b/>
              </w:rPr>
              <w:t>Pr</w:t>
            </w:r>
            <w:proofErr w:type="spellEnd"/>
            <w:r w:rsidRPr="00FD3539">
              <w:rPr>
                <w:rFonts w:ascii="Times New Roman" w:eastAsia="Times New Roman" w:hAnsi="Times New Roman" w:cs="Times New Roman"/>
                <w:b/>
              </w:rPr>
              <w:t xml:space="preserve"> &gt; |t|</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K</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31.8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87.2%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30.7 - 30.9</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156.39</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1</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28.8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71.4%</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30.3 - 30.6</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139.07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25.8</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28.8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41.9%</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53.1%</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27.2 - 27.4</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151.32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26</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36.4%</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36.1%</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27.1 - 27.3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189.53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4</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23.1</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24</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66.7%</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31.8%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23.2 - 23.3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200.83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5</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18.2</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19.9</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65.1%</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32.7%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18.5 - 18.6</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-52.63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6</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14</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15</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47.9%</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42.5%</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14.3 - 14.4</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-381.77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12</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12.9</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31.2%</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66.4%</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12.6 - 12.7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-633.46</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9</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33.6%</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54.8%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10.7 - 10.8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-292.09</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bl>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b/>
              </w:rPr>
            </w:pPr>
            <w:r w:rsidRPr="00FD3539">
              <w:rPr>
                <w:rFonts w:ascii="Times New Roman" w:eastAsia="Times New Roman" w:hAnsi="Times New Roman" w:cs="Times New Roman"/>
                <w:b/>
              </w:rPr>
              <w:t>Reading Diagnostic</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 xml:space="preserve">Typical Growth </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Frequency/</w:t>
            </w:r>
          </w:p>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Peaks</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95% CL Mean</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t Value</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proofErr w:type="spellStart"/>
            <w:r w:rsidRPr="00FD3539">
              <w:rPr>
                <w:rFonts w:ascii="Times New Roman" w:eastAsia="Times New Roman" w:hAnsi="Times New Roman" w:cs="Times New Roman"/>
                <w:b/>
              </w:rPr>
              <w:t>Pr</w:t>
            </w:r>
            <w:proofErr w:type="spellEnd"/>
            <w:r w:rsidRPr="00FD3539">
              <w:rPr>
                <w:rFonts w:ascii="Times New Roman" w:eastAsia="Times New Roman" w:hAnsi="Times New Roman" w:cs="Times New Roman"/>
                <w:b/>
              </w:rPr>
              <w:t xml:space="preserve"> &gt; |t|</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K</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49.2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80.7%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47.9 - 48.1</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611.64</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lastRenderedPageBreak/>
              <w:t>Grade 1</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49</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76.2%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48.8 - 49.1</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401.08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39.8</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44.3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40.4%</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43.7%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38.8 - 39.4</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132.12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26</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19.7%</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35%</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28.6 - 29.2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64.61</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4</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20</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38.2%</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29.8%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21.8 - 22.2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18.70</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5</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16</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20</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29.3%</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28.2%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18.3 - 18.8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-11.88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6</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12.4</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18.8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23.9%</w:t>
            </w:r>
          </w:p>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40.8%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14.1 - 14.5</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-53.26</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16.8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54.2%</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13.0 - 13.5</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-64.80</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r w:rsidR="0010372A" w:rsidRPr="00FD3539">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18</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57.3%</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13.2 - 13.7</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-51.41</w:t>
            </w:r>
          </w:p>
        </w:tc>
        <w:tc>
          <w:tcPr>
            <w:tcW w:w="156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&lt;.0001</w:t>
            </w:r>
          </w:p>
        </w:tc>
      </w:tr>
    </w:tbl>
    <w:p w:rsidR="0010372A" w:rsidRPr="00FD3539" w:rsidRDefault="0010372A">
      <w:pPr>
        <w:spacing w:after="0" w:line="480" w:lineRule="auto"/>
        <w:rPr>
          <w:rFonts w:ascii="Times New Roman" w:eastAsia="Times New Roman" w:hAnsi="Times New Roman" w:cs="Times New Roman"/>
          <w:b/>
        </w:rPr>
      </w:pP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t>Figure 1</w:t>
      </w:r>
    </w:p>
    <w:p w:rsidR="0010372A" w:rsidRDefault="00FB3A05">
      <w:pPr>
        <w:spacing w:after="0" w:line="480" w:lineRule="auto"/>
        <w:rPr>
          <w:rFonts w:ascii="Times New Roman" w:eastAsia="Times New Roman" w:hAnsi="Times New Roman" w:cs="Times New Roman"/>
          <w:i/>
        </w:rPr>
      </w:pPr>
      <w:r w:rsidRPr="00FD3539">
        <w:rPr>
          <w:rFonts w:ascii="Times New Roman" w:eastAsia="Times New Roman" w:hAnsi="Times New Roman" w:cs="Times New Roman"/>
          <w:i/>
        </w:rPr>
        <w:t xml:space="preserve">Summary statistics of Math diagnostic growth by grade level </w:t>
      </w:r>
      <w:r w:rsidRPr="00FD3539">
        <w:rPr>
          <w:rFonts w:ascii="Times New Roman" w:eastAsia="Times New Roman" w:hAnsi="Times New Roman" w:cs="Times New Roman"/>
          <w:b/>
          <w:noProof/>
        </w:rPr>
        <w:drawing>
          <wp:inline distT="0" distB="0" distL="0" distR="0">
            <wp:extent cx="5934075" cy="3025215"/>
            <wp:effectExtent l="12700" t="12700" r="12700" b="127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r="2564" b="51338"/>
                    <a:stretch>
                      <a:fillRect/>
                    </a:stretch>
                  </pic:blipFill>
                  <pic:spPr>
                    <a:xfrm>
                      <a:off x="0" y="0"/>
                      <a:ext cx="5934075" cy="3025215"/>
                    </a:xfrm>
                    <a:prstGeom prst="rect">
                      <a:avLst/>
                    </a:prstGeom>
                    <a:ln w="12700">
                      <a:solidFill>
                        <a:srgbClr val="000000"/>
                      </a:solidFill>
                      <a:prstDash val="solid"/>
                    </a:ln>
                  </pic:spPr>
                </pic:pic>
              </a:graphicData>
            </a:graphic>
          </wp:inline>
        </w:drawing>
      </w:r>
    </w:p>
    <w:p w:rsidR="00F82E98" w:rsidRDefault="00F82E98">
      <w:pPr>
        <w:spacing w:after="0" w:line="480" w:lineRule="auto"/>
        <w:rPr>
          <w:rFonts w:ascii="Times New Roman" w:eastAsia="Times New Roman" w:hAnsi="Times New Roman" w:cs="Times New Roman"/>
          <w:i/>
        </w:rPr>
      </w:pPr>
    </w:p>
    <w:p w:rsidR="00F82E98" w:rsidRDefault="00F82E98">
      <w:pPr>
        <w:spacing w:after="0" w:line="480" w:lineRule="auto"/>
        <w:rPr>
          <w:rFonts w:ascii="Times New Roman" w:eastAsia="Times New Roman" w:hAnsi="Times New Roman" w:cs="Times New Roman"/>
          <w:i/>
        </w:rPr>
      </w:pPr>
    </w:p>
    <w:p w:rsidR="00F82E98" w:rsidRPr="00FD3539" w:rsidRDefault="00F82E98">
      <w:pPr>
        <w:spacing w:after="0" w:line="480" w:lineRule="auto"/>
        <w:rPr>
          <w:rFonts w:ascii="Times New Roman" w:eastAsia="Times New Roman" w:hAnsi="Times New Roman" w:cs="Times New Roman"/>
          <w:i/>
        </w:rPr>
      </w:pPr>
    </w:p>
    <w:p w:rsidR="00F82E98" w:rsidRPr="00FD3539" w:rsidRDefault="00F82E98" w:rsidP="00F82E98">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lastRenderedPageBreak/>
        <w:t xml:space="preserve">Figure </w:t>
      </w:r>
      <w:r>
        <w:rPr>
          <w:rFonts w:ascii="Times New Roman" w:eastAsia="Times New Roman" w:hAnsi="Times New Roman" w:cs="Times New Roman"/>
          <w:b/>
        </w:rPr>
        <w:t>2</w:t>
      </w:r>
    </w:p>
    <w:p w:rsidR="00F82E98" w:rsidRDefault="00F82E98" w:rsidP="00F82E98">
      <w:pPr>
        <w:spacing w:after="0" w:line="480" w:lineRule="auto"/>
        <w:rPr>
          <w:rFonts w:ascii="Times New Roman" w:eastAsia="Times New Roman" w:hAnsi="Times New Roman" w:cs="Times New Roman"/>
        </w:rPr>
      </w:pPr>
      <w:r w:rsidRPr="00FD3539">
        <w:rPr>
          <w:rFonts w:ascii="Times New Roman" w:eastAsia="Times New Roman" w:hAnsi="Times New Roman" w:cs="Times New Roman"/>
          <w:i/>
        </w:rPr>
        <w:t>Summary statistics of Reading diagnostic growth by grade level</w:t>
      </w:r>
    </w:p>
    <w:p w:rsidR="0010372A" w:rsidRPr="00FD3539" w:rsidRDefault="00FB3A05">
      <w:pPr>
        <w:spacing w:after="0" w:line="480" w:lineRule="auto"/>
        <w:rPr>
          <w:rFonts w:ascii="Times New Roman" w:eastAsia="Times New Roman" w:hAnsi="Times New Roman" w:cs="Times New Roman"/>
        </w:rPr>
      </w:pPr>
      <w:r w:rsidRPr="00FD3539">
        <w:rPr>
          <w:rFonts w:ascii="Times New Roman" w:eastAsia="Times New Roman" w:hAnsi="Times New Roman" w:cs="Times New Roman"/>
          <w:i/>
          <w:noProof/>
        </w:rPr>
        <w:drawing>
          <wp:inline distT="0" distB="0" distL="0" distR="0">
            <wp:extent cx="5943600" cy="2819400"/>
            <wp:effectExtent l="19050" t="19050" r="22860" b="2286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8"/>
                    <a:srcRect t="51181" b="2204"/>
                    <a:stretch/>
                  </pic:blipFill>
                  <pic:spPr bwMode="auto">
                    <a:xfrm>
                      <a:off x="0" y="0"/>
                      <a:ext cx="5943600" cy="2819400"/>
                    </a:xfrm>
                    <a:prstGeom prst="rect">
                      <a:avLst/>
                    </a:prstGeom>
                    <a:ln w="12700"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372A" w:rsidRPr="00FD3539" w:rsidRDefault="00FB3A05">
      <w:p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tab/>
        <w:t xml:space="preserve">The second hypothesis tests if spending more time with EdTech programs lead to higher growth. Figure </w:t>
      </w:r>
      <w:r w:rsidR="00D4338E">
        <w:rPr>
          <w:rFonts w:ascii="Times New Roman" w:eastAsia="Times New Roman" w:hAnsi="Times New Roman" w:cs="Times New Roman"/>
        </w:rPr>
        <w:t>3</w:t>
      </w:r>
      <w:r w:rsidRPr="00FD3539">
        <w:rPr>
          <w:rFonts w:ascii="Times New Roman" w:eastAsia="Times New Roman" w:hAnsi="Times New Roman" w:cs="Times New Roman"/>
        </w:rPr>
        <w:t xml:space="preserve"> shows the total minutes spent based on subject and meeting or not meeting typical growth. Overall, students spent nearly </w:t>
      </w:r>
      <w:r w:rsidR="007564D3">
        <w:rPr>
          <w:rFonts w:ascii="Times New Roman" w:eastAsia="Times New Roman" w:hAnsi="Times New Roman" w:cs="Times New Roman"/>
        </w:rPr>
        <w:t>thrice</w:t>
      </w:r>
      <w:r w:rsidRPr="00FD3539">
        <w:rPr>
          <w:rFonts w:ascii="Times New Roman" w:eastAsia="Times New Roman" w:hAnsi="Times New Roman" w:cs="Times New Roman"/>
        </w:rPr>
        <w:t xml:space="preserve"> as much in Math but still did not meet their annual typical growth. A similar case in Reading where students who spent nearly </w:t>
      </w:r>
      <w:r w:rsidR="007564D3">
        <w:rPr>
          <w:rFonts w:ascii="Times New Roman" w:eastAsia="Times New Roman" w:hAnsi="Times New Roman" w:cs="Times New Roman"/>
        </w:rPr>
        <w:t>twice</w:t>
      </w:r>
      <w:r w:rsidRPr="00FD3539">
        <w:rPr>
          <w:rFonts w:ascii="Times New Roman" w:eastAsia="Times New Roman" w:hAnsi="Times New Roman" w:cs="Times New Roman"/>
        </w:rPr>
        <w:t xml:space="preserve"> on the platform still did not meet their goals. In contrast, students who met their annual typical growth did not spend much time on the platform. </w:t>
      </w: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t xml:space="preserve">Figure </w:t>
      </w:r>
      <w:r w:rsidR="00072C9C">
        <w:rPr>
          <w:rFonts w:ascii="Times New Roman" w:eastAsia="Times New Roman" w:hAnsi="Times New Roman" w:cs="Times New Roman"/>
          <w:b/>
        </w:rPr>
        <w:t>3</w:t>
      </w:r>
      <w:r w:rsidRPr="00FD3539">
        <w:rPr>
          <w:rFonts w:ascii="Times New Roman" w:eastAsia="Times New Roman" w:hAnsi="Times New Roman" w:cs="Times New Roman"/>
          <w:b/>
        </w:rPr>
        <w:t xml:space="preserve"> </w:t>
      </w:r>
    </w:p>
    <w:p w:rsidR="0010372A" w:rsidRPr="00FD3539" w:rsidRDefault="00FB3A05">
      <w:pPr>
        <w:spacing w:after="0" w:line="480" w:lineRule="auto"/>
        <w:rPr>
          <w:rFonts w:ascii="Times New Roman" w:eastAsia="Times New Roman" w:hAnsi="Times New Roman" w:cs="Times New Roman"/>
          <w:i/>
        </w:rPr>
      </w:pPr>
      <w:r w:rsidRPr="00FD3539">
        <w:rPr>
          <w:rFonts w:ascii="Times New Roman" w:eastAsia="Times New Roman" w:hAnsi="Times New Roman" w:cs="Times New Roman"/>
          <w:i/>
        </w:rPr>
        <w:t>Total minutes spent in a year by subject</w:t>
      </w:r>
    </w:p>
    <w:p w:rsidR="0010372A" w:rsidRPr="00FD3539" w:rsidRDefault="00FB3A05">
      <w:pPr>
        <w:spacing w:after="0" w:line="480" w:lineRule="auto"/>
        <w:jc w:val="center"/>
        <w:rPr>
          <w:rFonts w:ascii="Times New Roman" w:eastAsia="Times New Roman" w:hAnsi="Times New Roman" w:cs="Times New Roman"/>
        </w:rPr>
        <w:sectPr w:rsidR="0010372A" w:rsidRPr="00FD3539">
          <w:pgSz w:w="12240" w:h="15840"/>
          <w:pgMar w:top="1440" w:right="1440" w:bottom="1440" w:left="1440" w:header="720" w:footer="720" w:gutter="0"/>
          <w:cols w:space="720"/>
        </w:sectPr>
      </w:pPr>
      <w:r w:rsidRPr="00FD3539">
        <w:rPr>
          <w:rFonts w:ascii="Times New Roman" w:eastAsia="Times New Roman" w:hAnsi="Times New Roman" w:cs="Times New Roman"/>
          <w:noProof/>
        </w:rPr>
        <w:drawing>
          <wp:inline distT="114300" distB="114300" distL="114300" distR="114300">
            <wp:extent cx="2781300" cy="2263140"/>
            <wp:effectExtent l="19050" t="19050" r="19050" b="2286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781482" cy="2263288"/>
                    </a:xfrm>
                    <a:prstGeom prst="rect">
                      <a:avLst/>
                    </a:prstGeom>
                    <a:ln w="12700">
                      <a:solidFill>
                        <a:srgbClr val="000000"/>
                      </a:solidFill>
                      <a:prstDash val="solid"/>
                    </a:ln>
                  </pic:spPr>
                </pic:pic>
              </a:graphicData>
            </a:graphic>
          </wp:inline>
        </w:drawing>
      </w: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lastRenderedPageBreak/>
        <w:t xml:space="preserve">Figure </w:t>
      </w:r>
      <w:r w:rsidR="00072C9C">
        <w:rPr>
          <w:rFonts w:ascii="Times New Roman" w:eastAsia="Times New Roman" w:hAnsi="Times New Roman" w:cs="Times New Roman"/>
          <w:b/>
        </w:rPr>
        <w:t>4</w:t>
      </w:r>
    </w:p>
    <w:p w:rsidR="0010372A" w:rsidRPr="00FD3539" w:rsidRDefault="00FB3A05">
      <w:pPr>
        <w:spacing w:after="0" w:line="480" w:lineRule="auto"/>
        <w:rPr>
          <w:rFonts w:ascii="Times New Roman" w:eastAsia="Times New Roman" w:hAnsi="Times New Roman" w:cs="Times New Roman"/>
          <w:i/>
        </w:rPr>
      </w:pPr>
      <w:r w:rsidRPr="00FD3539">
        <w:rPr>
          <w:rFonts w:ascii="Times New Roman" w:eastAsia="Times New Roman" w:hAnsi="Times New Roman" w:cs="Times New Roman"/>
          <w:i/>
        </w:rPr>
        <w:t xml:space="preserve">Kruskal-Wallis test of total minutes based on group - met or not met the annual growth goal </w:t>
      </w:r>
    </w:p>
    <w:p w:rsidR="0010372A" w:rsidRPr="00FD3539" w:rsidRDefault="00FB3A05">
      <w:pPr>
        <w:spacing w:after="0" w:line="480" w:lineRule="auto"/>
        <w:jc w:val="center"/>
        <w:rPr>
          <w:rFonts w:ascii="Times New Roman" w:eastAsia="Times New Roman" w:hAnsi="Times New Roman" w:cs="Times New Roman"/>
        </w:rPr>
      </w:pPr>
      <w:r w:rsidRPr="00FD3539">
        <w:rPr>
          <w:rFonts w:ascii="Times New Roman" w:eastAsia="Times New Roman" w:hAnsi="Times New Roman" w:cs="Times New Roman"/>
          <w:noProof/>
        </w:rPr>
        <w:drawing>
          <wp:inline distT="114300" distB="114300" distL="114300" distR="114300">
            <wp:extent cx="4599281" cy="5877297"/>
            <wp:effectExtent l="12700" t="12700" r="12700" b="127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99281" cy="5877297"/>
                    </a:xfrm>
                    <a:prstGeom prst="rect">
                      <a:avLst/>
                    </a:prstGeom>
                    <a:ln w="12700">
                      <a:solidFill>
                        <a:srgbClr val="000000"/>
                      </a:solidFill>
                      <a:prstDash val="solid"/>
                    </a:ln>
                  </pic:spPr>
                </pic:pic>
              </a:graphicData>
            </a:graphic>
          </wp:inline>
        </w:drawing>
      </w:r>
    </w:p>
    <w:p w:rsidR="0010372A" w:rsidRPr="00FD3539" w:rsidRDefault="00FB3A05">
      <w:p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t>Based on the results</w:t>
      </w:r>
      <w:r w:rsidR="0023300F">
        <w:rPr>
          <w:rFonts w:ascii="Times New Roman" w:eastAsia="Times New Roman" w:hAnsi="Times New Roman" w:cs="Times New Roman"/>
        </w:rPr>
        <w:t xml:space="preserve"> shown in Figure 4</w:t>
      </w:r>
      <w:r w:rsidRPr="00FD3539">
        <w:rPr>
          <w:rFonts w:ascii="Times New Roman" w:eastAsia="Times New Roman" w:hAnsi="Times New Roman" w:cs="Times New Roman"/>
        </w:rPr>
        <w:t xml:space="preserve">, there seems to be significant evidence to accept the null hypothesis. In other words, spending time on the platform (suggested 45-60 minutes per week) does not lead to better achievement performance. Perhaps the money is better spent on hiring an additional intervention specialist (IS) so that they can conduct small group in-person sessions with students who are not meeting their growth goals. </w:t>
      </w:r>
    </w:p>
    <w:p w:rsidR="0010372A" w:rsidRPr="00FD3539" w:rsidRDefault="00FB3A05">
      <w:pPr>
        <w:spacing w:after="0" w:line="480" w:lineRule="auto"/>
        <w:rPr>
          <w:rFonts w:ascii="Times New Roman" w:eastAsia="Times New Roman" w:hAnsi="Times New Roman" w:cs="Times New Roman"/>
        </w:rPr>
      </w:pPr>
      <w:r w:rsidRPr="00FD3539">
        <w:rPr>
          <w:rFonts w:ascii="Times New Roman" w:eastAsia="Times New Roman" w:hAnsi="Times New Roman" w:cs="Times New Roman"/>
        </w:rPr>
        <w:lastRenderedPageBreak/>
        <w:tab/>
        <w:t xml:space="preserve">The third hypothesis is based on projected performance at the end of the year. Figure </w:t>
      </w:r>
      <w:r w:rsidR="00744F08">
        <w:rPr>
          <w:rFonts w:ascii="Times New Roman" w:eastAsia="Times New Roman" w:hAnsi="Times New Roman" w:cs="Times New Roman"/>
        </w:rPr>
        <w:t>5</w:t>
      </w:r>
      <w:r w:rsidRPr="00FD3539">
        <w:rPr>
          <w:rFonts w:ascii="Times New Roman" w:eastAsia="Times New Roman" w:hAnsi="Times New Roman" w:cs="Times New Roman"/>
        </w:rPr>
        <w:t xml:space="preserve"> shows the state test proficiency by subject for all tested grades and the distribution of years the students have been in the district. This shows that students are likely to stay in the district. It also shows that the district proficiency in English and Math are lower than expected. The purpose of showing these graphs is to give the reader the broader view, in separate buckets, that 1) students are underperforming</w:t>
      </w:r>
      <w:r w:rsidR="000F669F">
        <w:rPr>
          <w:rFonts w:ascii="Times New Roman" w:eastAsia="Times New Roman" w:hAnsi="Times New Roman" w:cs="Times New Roman"/>
        </w:rPr>
        <w:t>,</w:t>
      </w:r>
      <w:r w:rsidRPr="00FD3539">
        <w:rPr>
          <w:rFonts w:ascii="Times New Roman" w:eastAsia="Times New Roman" w:hAnsi="Times New Roman" w:cs="Times New Roman"/>
        </w:rPr>
        <w:t xml:space="preserve"> but 2) the district is not experiencing a high transition. The latter is very important as most urban and under</w:t>
      </w:r>
      <w:r w:rsidR="00FB1A0C">
        <w:rPr>
          <w:rFonts w:ascii="Times New Roman" w:eastAsia="Times New Roman" w:hAnsi="Times New Roman" w:cs="Times New Roman"/>
        </w:rPr>
        <w:t>per</w:t>
      </w:r>
      <w:r w:rsidRPr="00FD3539">
        <w:rPr>
          <w:rFonts w:ascii="Times New Roman" w:eastAsia="Times New Roman" w:hAnsi="Times New Roman" w:cs="Times New Roman"/>
        </w:rPr>
        <w:t>forming districts tend to have high attrition rates with the byproduct of environmental inconsistency for students</w:t>
      </w:r>
      <w:r w:rsidR="00C96D53">
        <w:rPr>
          <w:rFonts w:ascii="Times New Roman" w:eastAsia="Times New Roman" w:hAnsi="Times New Roman" w:cs="Times New Roman"/>
        </w:rPr>
        <w:t>.</w:t>
      </w:r>
      <w:r w:rsidRPr="00FD3539">
        <w:rPr>
          <w:rFonts w:ascii="Times New Roman" w:eastAsia="Times New Roman" w:hAnsi="Times New Roman" w:cs="Times New Roman"/>
        </w:rPr>
        <w:t xml:space="preserve"> </w:t>
      </w: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t xml:space="preserve">Figure </w:t>
      </w:r>
      <w:r w:rsidR="00744F08">
        <w:rPr>
          <w:rFonts w:ascii="Times New Roman" w:eastAsia="Times New Roman" w:hAnsi="Times New Roman" w:cs="Times New Roman"/>
          <w:b/>
        </w:rPr>
        <w:t>5</w:t>
      </w:r>
    </w:p>
    <w:p w:rsidR="0010372A" w:rsidRPr="00FD3539" w:rsidRDefault="00FB3A05">
      <w:pPr>
        <w:spacing w:after="0" w:line="480" w:lineRule="auto"/>
        <w:rPr>
          <w:rFonts w:ascii="Times New Roman" w:eastAsia="Times New Roman" w:hAnsi="Times New Roman" w:cs="Times New Roman"/>
          <w:i/>
        </w:rPr>
      </w:pPr>
      <w:r w:rsidRPr="00FD3539">
        <w:rPr>
          <w:rFonts w:ascii="Times New Roman" w:eastAsia="Times New Roman" w:hAnsi="Times New Roman" w:cs="Times New Roman"/>
          <w:i/>
        </w:rPr>
        <w:t>Five-year state test results and respective years students have been in the district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0372A" w:rsidRPr="00FD3539">
        <w:tc>
          <w:tcPr>
            <w:tcW w:w="4680" w:type="dxa"/>
            <w:shd w:val="clear" w:color="auto" w:fill="auto"/>
            <w:tcMar>
              <w:top w:w="100" w:type="dxa"/>
              <w:left w:w="100" w:type="dxa"/>
              <w:bottom w:w="100" w:type="dxa"/>
              <w:right w:w="100" w:type="dxa"/>
            </w:tcMar>
          </w:tcPr>
          <w:p w:rsidR="0010372A" w:rsidRPr="00FD3539" w:rsidRDefault="00FB3A05">
            <w:pPr>
              <w:spacing w:after="0" w:line="480" w:lineRule="auto"/>
              <w:jc w:val="center"/>
              <w:rPr>
                <w:rFonts w:ascii="Times New Roman" w:eastAsia="Times New Roman" w:hAnsi="Times New Roman" w:cs="Times New Roman"/>
                <w:i/>
              </w:rPr>
            </w:pPr>
            <w:r w:rsidRPr="00FD3539">
              <w:rPr>
                <w:rFonts w:ascii="Times New Roman" w:eastAsia="Times New Roman" w:hAnsi="Times New Roman" w:cs="Times New Roman"/>
                <w:noProof/>
              </w:rPr>
              <w:drawing>
                <wp:inline distT="114300" distB="114300" distL="114300" distR="114300">
                  <wp:extent cx="2838450" cy="2108200"/>
                  <wp:effectExtent l="12700" t="12700" r="12700" b="1270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838450" cy="2108200"/>
                          </a:xfrm>
                          <a:prstGeom prst="rect">
                            <a:avLst/>
                          </a:prstGeom>
                          <a:ln w="12700">
                            <a:solidFill>
                              <a:srgbClr val="000000"/>
                            </a:solidFill>
                            <a:prstDash val="solid"/>
                          </a:ln>
                        </pic:spPr>
                      </pic:pic>
                    </a:graphicData>
                  </a:graphic>
                </wp:inline>
              </w:drawing>
            </w:r>
          </w:p>
        </w:tc>
        <w:tc>
          <w:tcPr>
            <w:tcW w:w="4680" w:type="dxa"/>
            <w:shd w:val="clear" w:color="auto" w:fill="auto"/>
            <w:tcMar>
              <w:top w:w="100" w:type="dxa"/>
              <w:left w:w="100" w:type="dxa"/>
              <w:bottom w:w="100" w:type="dxa"/>
              <w:right w:w="100" w:type="dxa"/>
            </w:tcMar>
          </w:tcPr>
          <w:p w:rsidR="0010372A" w:rsidRPr="00FD3539" w:rsidRDefault="00FB3A05">
            <w:pPr>
              <w:spacing w:after="0" w:line="276" w:lineRule="auto"/>
              <w:jc w:val="center"/>
              <w:rPr>
                <w:rFonts w:ascii="Times New Roman" w:eastAsia="Times New Roman" w:hAnsi="Times New Roman" w:cs="Times New Roman"/>
                <w:i/>
              </w:rPr>
            </w:pPr>
            <w:r w:rsidRPr="00FD3539">
              <w:rPr>
                <w:rFonts w:ascii="Times New Roman" w:eastAsia="Arial" w:hAnsi="Times New Roman" w:cs="Times New Roman"/>
                <w:noProof/>
              </w:rPr>
              <w:drawing>
                <wp:inline distT="114300" distB="114300" distL="114300" distR="114300">
                  <wp:extent cx="2838450" cy="2120900"/>
                  <wp:effectExtent l="12700" t="12700" r="12700" b="127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38450" cy="2120900"/>
                          </a:xfrm>
                          <a:prstGeom prst="rect">
                            <a:avLst/>
                          </a:prstGeom>
                          <a:ln w="12700">
                            <a:solidFill>
                              <a:srgbClr val="000000"/>
                            </a:solidFill>
                            <a:prstDash val="solid"/>
                          </a:ln>
                        </pic:spPr>
                      </pic:pic>
                    </a:graphicData>
                  </a:graphic>
                </wp:inline>
              </w:drawing>
            </w:r>
          </w:p>
        </w:tc>
      </w:tr>
    </w:tbl>
    <w:p w:rsidR="0010372A" w:rsidRPr="00FD3539" w:rsidRDefault="0010372A">
      <w:pPr>
        <w:spacing w:after="0" w:line="480" w:lineRule="auto"/>
        <w:rPr>
          <w:rFonts w:ascii="Times New Roman" w:eastAsia="Times New Roman" w:hAnsi="Times New Roman" w:cs="Times New Roman"/>
          <w:i/>
        </w:rPr>
      </w:pPr>
    </w:p>
    <w:p w:rsidR="0010372A" w:rsidRPr="00FD3539" w:rsidRDefault="00FB3A05">
      <w:pPr>
        <w:spacing w:after="0" w:line="480" w:lineRule="auto"/>
        <w:ind w:firstLine="720"/>
        <w:rPr>
          <w:rFonts w:ascii="Times New Roman" w:eastAsia="Times New Roman" w:hAnsi="Times New Roman" w:cs="Times New Roman"/>
          <w:b/>
        </w:rPr>
        <w:sectPr w:rsidR="0010372A" w:rsidRPr="00FD3539">
          <w:type w:val="continuous"/>
          <w:pgSz w:w="12240" w:h="15840"/>
          <w:pgMar w:top="1440" w:right="1440" w:bottom="1440" w:left="1440" w:header="720" w:footer="720" w:gutter="0"/>
          <w:cols w:space="720"/>
        </w:sectPr>
      </w:pPr>
      <w:r w:rsidRPr="00FD3539">
        <w:rPr>
          <w:rFonts w:ascii="Times New Roman" w:eastAsia="Times New Roman" w:hAnsi="Times New Roman" w:cs="Times New Roman"/>
        </w:rPr>
        <w:t>To determine if new students are more likely to score proficient on the state test, Kruskal-Wallis test was performed. Figure</w:t>
      </w:r>
      <w:r w:rsidR="00446468">
        <w:rPr>
          <w:rFonts w:ascii="Times New Roman" w:eastAsia="Times New Roman" w:hAnsi="Times New Roman" w:cs="Times New Roman"/>
        </w:rPr>
        <w:t>s</w:t>
      </w:r>
      <w:r w:rsidRPr="00FD3539">
        <w:rPr>
          <w:rFonts w:ascii="Times New Roman" w:eastAsia="Times New Roman" w:hAnsi="Times New Roman" w:cs="Times New Roman"/>
        </w:rPr>
        <w:t xml:space="preserve"> </w:t>
      </w:r>
      <w:r w:rsidR="000F669F">
        <w:rPr>
          <w:rFonts w:ascii="Times New Roman" w:eastAsia="Times New Roman" w:hAnsi="Times New Roman" w:cs="Times New Roman"/>
        </w:rPr>
        <w:t>6</w:t>
      </w:r>
      <w:r w:rsidR="00446468">
        <w:rPr>
          <w:rFonts w:ascii="Times New Roman" w:eastAsia="Times New Roman" w:hAnsi="Times New Roman" w:cs="Times New Roman"/>
        </w:rPr>
        <w:t>.a and 6.b</w:t>
      </w:r>
      <w:r w:rsidRPr="00FD3539">
        <w:rPr>
          <w:rFonts w:ascii="Times New Roman" w:eastAsia="Times New Roman" w:hAnsi="Times New Roman" w:cs="Times New Roman"/>
        </w:rPr>
        <w:t xml:space="preserve"> show there does not appear to be a significant difference between students who have been with the district long enough and those who are new. This could be accepted in a good or bad way</w:t>
      </w:r>
      <w:r w:rsidR="00275EBD">
        <w:rPr>
          <w:rFonts w:ascii="Times New Roman" w:eastAsia="Times New Roman" w:hAnsi="Times New Roman" w:cs="Times New Roman"/>
        </w:rPr>
        <w:t>;</w:t>
      </w:r>
      <w:r w:rsidRPr="00FD3539">
        <w:rPr>
          <w:rFonts w:ascii="Times New Roman" w:eastAsia="Times New Roman" w:hAnsi="Times New Roman" w:cs="Times New Roman"/>
        </w:rPr>
        <w:t xml:space="preserve"> </w:t>
      </w:r>
      <w:r w:rsidR="00275EBD">
        <w:rPr>
          <w:rFonts w:ascii="Times New Roman" w:eastAsia="Times New Roman" w:hAnsi="Times New Roman" w:cs="Times New Roman"/>
        </w:rPr>
        <w:t>it is g</w:t>
      </w:r>
      <w:r w:rsidRPr="00FD3539">
        <w:rPr>
          <w:rFonts w:ascii="Times New Roman" w:eastAsia="Times New Roman" w:hAnsi="Times New Roman" w:cs="Times New Roman"/>
        </w:rPr>
        <w:t>ood that the district is not ‘failing’ the students by letting them lag behind</w:t>
      </w:r>
      <w:r w:rsidR="00275EBD">
        <w:rPr>
          <w:rFonts w:ascii="Times New Roman" w:eastAsia="Times New Roman" w:hAnsi="Times New Roman" w:cs="Times New Roman"/>
        </w:rPr>
        <w:t>, and it is</w:t>
      </w:r>
      <w:r w:rsidRPr="00FD3539">
        <w:rPr>
          <w:rFonts w:ascii="Times New Roman" w:eastAsia="Times New Roman" w:hAnsi="Times New Roman" w:cs="Times New Roman"/>
        </w:rPr>
        <w:t xml:space="preserve"> </w:t>
      </w:r>
      <w:r w:rsidR="00275EBD">
        <w:rPr>
          <w:rFonts w:ascii="Times New Roman" w:eastAsia="Times New Roman" w:hAnsi="Times New Roman" w:cs="Times New Roman"/>
        </w:rPr>
        <w:t>b</w:t>
      </w:r>
      <w:r w:rsidRPr="00FD3539">
        <w:rPr>
          <w:rFonts w:ascii="Times New Roman" w:eastAsia="Times New Roman" w:hAnsi="Times New Roman" w:cs="Times New Roman"/>
        </w:rPr>
        <w:t xml:space="preserve">ad that the district is not pulling them up either. Simply put, neither group is likely to perform better on the state assessment. In summary, it is better to reject the null hypothesis but the alternative should </w:t>
      </w:r>
      <w:r w:rsidR="00F73E45">
        <w:rPr>
          <w:rFonts w:ascii="Times New Roman" w:eastAsia="Times New Roman" w:hAnsi="Times New Roman" w:cs="Times New Roman"/>
        </w:rPr>
        <w:t xml:space="preserve">not </w:t>
      </w:r>
      <w:r w:rsidRPr="00FD3539">
        <w:rPr>
          <w:rFonts w:ascii="Times New Roman" w:eastAsia="Times New Roman" w:hAnsi="Times New Roman" w:cs="Times New Roman"/>
        </w:rPr>
        <w:t xml:space="preserve">be accepted either. Perhaps a smaller research, studied in consecutive years, should be performed separately. </w:t>
      </w: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lastRenderedPageBreak/>
        <w:t xml:space="preserve">Figure </w:t>
      </w:r>
      <w:r w:rsidR="000F669F">
        <w:rPr>
          <w:rFonts w:ascii="Times New Roman" w:eastAsia="Times New Roman" w:hAnsi="Times New Roman" w:cs="Times New Roman"/>
          <w:b/>
        </w:rPr>
        <w:t>6</w:t>
      </w:r>
      <w:r w:rsidR="00512A8D">
        <w:rPr>
          <w:rFonts w:ascii="Times New Roman" w:eastAsia="Times New Roman" w:hAnsi="Times New Roman" w:cs="Times New Roman"/>
          <w:b/>
        </w:rPr>
        <w:t>.a</w:t>
      </w:r>
    </w:p>
    <w:p w:rsidR="0010372A" w:rsidRPr="00FD3539" w:rsidRDefault="00FB3A05">
      <w:pPr>
        <w:spacing w:after="0" w:line="480" w:lineRule="auto"/>
        <w:rPr>
          <w:rFonts w:ascii="Times New Roman" w:eastAsia="Times New Roman" w:hAnsi="Times New Roman" w:cs="Times New Roman"/>
          <w:i/>
        </w:rPr>
      </w:pPr>
      <w:r w:rsidRPr="00FD3539">
        <w:rPr>
          <w:rFonts w:ascii="Times New Roman" w:eastAsia="Times New Roman" w:hAnsi="Times New Roman" w:cs="Times New Roman"/>
          <w:i/>
        </w:rPr>
        <w:t>Kruskal-Wallis test to determine if years affect state performance</w:t>
      </w:r>
    </w:p>
    <w:p w:rsidR="0010372A" w:rsidRPr="00FD3539" w:rsidRDefault="00FB3A05">
      <w:pPr>
        <w:spacing w:after="0" w:line="480" w:lineRule="auto"/>
        <w:jc w:val="center"/>
        <w:rPr>
          <w:rFonts w:ascii="Times New Roman" w:eastAsia="Times New Roman" w:hAnsi="Times New Roman" w:cs="Times New Roman"/>
          <w:i/>
        </w:rPr>
      </w:pPr>
      <w:r w:rsidRPr="00FD3539">
        <w:rPr>
          <w:rFonts w:ascii="Times New Roman" w:eastAsia="Times New Roman" w:hAnsi="Times New Roman" w:cs="Times New Roman"/>
          <w:i/>
          <w:noProof/>
        </w:rPr>
        <w:drawing>
          <wp:inline distT="114300" distB="114300" distL="114300" distR="114300">
            <wp:extent cx="5472113" cy="7058057"/>
            <wp:effectExtent l="12700" t="12700" r="12700" b="127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72113" cy="7058057"/>
                    </a:xfrm>
                    <a:prstGeom prst="rect">
                      <a:avLst/>
                    </a:prstGeom>
                    <a:ln w="12700">
                      <a:solidFill>
                        <a:srgbClr val="000000"/>
                      </a:solidFill>
                      <a:prstDash val="solid"/>
                    </a:ln>
                  </pic:spPr>
                </pic:pic>
              </a:graphicData>
            </a:graphic>
          </wp:inline>
        </w:drawing>
      </w:r>
    </w:p>
    <w:p w:rsidR="00512A8D" w:rsidRDefault="00512A8D">
      <w:pPr>
        <w:spacing w:after="0" w:line="480" w:lineRule="auto"/>
        <w:jc w:val="center"/>
        <w:rPr>
          <w:rFonts w:ascii="Times New Roman" w:eastAsia="Times New Roman" w:hAnsi="Times New Roman" w:cs="Times New Roman"/>
          <w:i/>
        </w:rPr>
      </w:pPr>
    </w:p>
    <w:p w:rsidR="00512A8D" w:rsidRPr="00FD3539" w:rsidRDefault="00512A8D" w:rsidP="00512A8D">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lastRenderedPageBreak/>
        <w:t xml:space="preserve">Figure </w:t>
      </w:r>
      <w:r>
        <w:rPr>
          <w:rFonts w:ascii="Times New Roman" w:eastAsia="Times New Roman" w:hAnsi="Times New Roman" w:cs="Times New Roman"/>
          <w:b/>
        </w:rPr>
        <w:t>6</w:t>
      </w:r>
      <w:r>
        <w:rPr>
          <w:rFonts w:ascii="Times New Roman" w:eastAsia="Times New Roman" w:hAnsi="Times New Roman" w:cs="Times New Roman"/>
          <w:b/>
        </w:rPr>
        <w:t>.b</w:t>
      </w:r>
    </w:p>
    <w:p w:rsidR="00512A8D" w:rsidRPr="00FD3539" w:rsidRDefault="00CC7F6E" w:rsidP="00512A8D">
      <w:pPr>
        <w:spacing w:after="0" w:line="480" w:lineRule="auto"/>
        <w:rPr>
          <w:rFonts w:ascii="Times New Roman" w:eastAsia="Times New Roman" w:hAnsi="Times New Roman" w:cs="Times New Roman"/>
          <w:i/>
        </w:rPr>
      </w:pPr>
      <w:r>
        <w:rPr>
          <w:rFonts w:ascii="Times New Roman" w:eastAsia="Times New Roman" w:hAnsi="Times New Roman" w:cs="Times New Roman"/>
          <w:i/>
        </w:rPr>
        <w:t xml:space="preserve">Continued - </w:t>
      </w:r>
      <w:r w:rsidR="00512A8D" w:rsidRPr="00FD3539">
        <w:rPr>
          <w:rFonts w:ascii="Times New Roman" w:eastAsia="Times New Roman" w:hAnsi="Times New Roman" w:cs="Times New Roman"/>
          <w:i/>
        </w:rPr>
        <w:t>Kruskal-Wallis test to determine if years affect state performance</w:t>
      </w:r>
    </w:p>
    <w:p w:rsidR="0010372A" w:rsidRPr="00FD3539" w:rsidRDefault="00FB3A05">
      <w:pPr>
        <w:spacing w:after="0" w:line="480" w:lineRule="auto"/>
        <w:jc w:val="center"/>
        <w:rPr>
          <w:rFonts w:ascii="Times New Roman" w:eastAsia="Times New Roman" w:hAnsi="Times New Roman" w:cs="Times New Roman"/>
          <w:i/>
        </w:rPr>
      </w:pPr>
      <w:r w:rsidRPr="00FD3539">
        <w:rPr>
          <w:rFonts w:ascii="Times New Roman" w:eastAsia="Times New Roman" w:hAnsi="Times New Roman" w:cs="Times New Roman"/>
          <w:i/>
          <w:noProof/>
        </w:rPr>
        <w:drawing>
          <wp:inline distT="114300" distB="114300" distL="114300" distR="114300">
            <wp:extent cx="5543550" cy="6762750"/>
            <wp:effectExtent l="12700" t="12700" r="12700" b="1270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543550" cy="6762750"/>
                    </a:xfrm>
                    <a:prstGeom prst="rect">
                      <a:avLst/>
                    </a:prstGeom>
                    <a:ln w="12700">
                      <a:solidFill>
                        <a:srgbClr val="000000"/>
                      </a:solidFill>
                      <a:prstDash val="solid"/>
                    </a:ln>
                  </pic:spPr>
                </pic:pic>
              </a:graphicData>
            </a:graphic>
          </wp:inline>
        </w:drawing>
      </w: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rPr>
        <w:tab/>
        <w:t xml:space="preserve">The last hypothesis tests if students below grade level (performance level 1 and 2) grow significantly compared to their counterparts (performance levels 3+). Based on the ANOVA test, only </w:t>
      </w:r>
      <w:r w:rsidR="000F4001">
        <w:rPr>
          <w:rFonts w:ascii="Times New Roman" w:eastAsia="Times New Roman" w:hAnsi="Times New Roman" w:cs="Times New Roman"/>
        </w:rPr>
        <w:lastRenderedPageBreak/>
        <w:t>G</w:t>
      </w:r>
      <w:r w:rsidRPr="00FD3539">
        <w:rPr>
          <w:rFonts w:ascii="Times New Roman" w:eastAsia="Times New Roman" w:hAnsi="Times New Roman" w:cs="Times New Roman"/>
        </w:rPr>
        <w:t>roup 2 show</w:t>
      </w:r>
      <w:r w:rsidR="00860561">
        <w:rPr>
          <w:rFonts w:ascii="Times New Roman" w:eastAsia="Times New Roman" w:hAnsi="Times New Roman" w:cs="Times New Roman"/>
        </w:rPr>
        <w:t>ed</w:t>
      </w:r>
      <w:r w:rsidRPr="00FD3539">
        <w:rPr>
          <w:rFonts w:ascii="Times New Roman" w:eastAsia="Times New Roman" w:hAnsi="Times New Roman" w:cs="Times New Roman"/>
        </w:rPr>
        <w:t xml:space="preserve"> significant growth compared to the proficient group</w:t>
      </w:r>
      <w:r w:rsidR="00426CE2">
        <w:rPr>
          <w:rFonts w:ascii="Times New Roman" w:eastAsia="Times New Roman" w:hAnsi="Times New Roman" w:cs="Times New Roman"/>
        </w:rPr>
        <w:t xml:space="preserve"> (see Figure 7)</w:t>
      </w:r>
      <w:r w:rsidRPr="00FD3539">
        <w:rPr>
          <w:rFonts w:ascii="Times New Roman" w:eastAsia="Times New Roman" w:hAnsi="Times New Roman" w:cs="Times New Roman"/>
        </w:rPr>
        <w:t xml:space="preserve">. This </w:t>
      </w:r>
      <w:r w:rsidR="00860561">
        <w:rPr>
          <w:rFonts w:ascii="Times New Roman" w:eastAsia="Times New Roman" w:hAnsi="Times New Roman" w:cs="Times New Roman"/>
        </w:rPr>
        <w:t>was</w:t>
      </w:r>
      <w:r w:rsidRPr="00FD3539">
        <w:rPr>
          <w:rFonts w:ascii="Times New Roman" w:eastAsia="Times New Roman" w:hAnsi="Times New Roman" w:cs="Times New Roman"/>
        </w:rPr>
        <w:t xml:space="preserve"> both encouraging and discouraging. It </w:t>
      </w:r>
      <w:r w:rsidR="00860561">
        <w:rPr>
          <w:rFonts w:ascii="Times New Roman" w:eastAsia="Times New Roman" w:hAnsi="Times New Roman" w:cs="Times New Roman"/>
        </w:rPr>
        <w:t>wa</w:t>
      </w:r>
      <w:r w:rsidRPr="00FD3539">
        <w:rPr>
          <w:rFonts w:ascii="Times New Roman" w:eastAsia="Times New Roman" w:hAnsi="Times New Roman" w:cs="Times New Roman"/>
        </w:rPr>
        <w:t xml:space="preserve">s encouraging that there </w:t>
      </w:r>
      <w:r w:rsidR="00860561">
        <w:rPr>
          <w:rFonts w:ascii="Times New Roman" w:eastAsia="Times New Roman" w:hAnsi="Times New Roman" w:cs="Times New Roman"/>
        </w:rPr>
        <w:t>was</w:t>
      </w:r>
      <w:r w:rsidRPr="00FD3539">
        <w:rPr>
          <w:rFonts w:ascii="Times New Roman" w:eastAsia="Times New Roman" w:hAnsi="Times New Roman" w:cs="Times New Roman"/>
        </w:rPr>
        <w:t xml:space="preserve"> a high chance that </w:t>
      </w:r>
      <w:r w:rsidR="000F4001">
        <w:rPr>
          <w:rFonts w:ascii="Times New Roman" w:eastAsia="Times New Roman" w:hAnsi="Times New Roman" w:cs="Times New Roman"/>
        </w:rPr>
        <w:t>G</w:t>
      </w:r>
      <w:r w:rsidRPr="00FD3539">
        <w:rPr>
          <w:rFonts w:ascii="Times New Roman" w:eastAsia="Times New Roman" w:hAnsi="Times New Roman" w:cs="Times New Roman"/>
        </w:rPr>
        <w:t xml:space="preserve">roup 2 </w:t>
      </w:r>
      <w:r w:rsidR="00860561">
        <w:rPr>
          <w:rFonts w:ascii="Times New Roman" w:eastAsia="Times New Roman" w:hAnsi="Times New Roman" w:cs="Times New Roman"/>
        </w:rPr>
        <w:t>grew</w:t>
      </w:r>
      <w:r w:rsidRPr="00FD3539">
        <w:rPr>
          <w:rFonts w:ascii="Times New Roman" w:eastAsia="Times New Roman" w:hAnsi="Times New Roman" w:cs="Times New Roman"/>
        </w:rPr>
        <w:t xml:space="preserve"> enough to move to </w:t>
      </w:r>
      <w:r w:rsidR="000F4001">
        <w:rPr>
          <w:rFonts w:ascii="Times New Roman" w:eastAsia="Times New Roman" w:hAnsi="Times New Roman" w:cs="Times New Roman"/>
        </w:rPr>
        <w:t>G</w:t>
      </w:r>
      <w:r w:rsidRPr="00FD3539">
        <w:rPr>
          <w:rFonts w:ascii="Times New Roman" w:eastAsia="Times New Roman" w:hAnsi="Times New Roman" w:cs="Times New Roman"/>
        </w:rPr>
        <w:t xml:space="preserve">roup 3 but </w:t>
      </w:r>
      <w:r w:rsidR="000F4001">
        <w:rPr>
          <w:rFonts w:ascii="Times New Roman" w:eastAsia="Times New Roman" w:hAnsi="Times New Roman" w:cs="Times New Roman"/>
        </w:rPr>
        <w:t>G</w:t>
      </w:r>
      <w:r w:rsidRPr="00FD3539">
        <w:rPr>
          <w:rFonts w:ascii="Times New Roman" w:eastAsia="Times New Roman" w:hAnsi="Times New Roman" w:cs="Times New Roman"/>
        </w:rPr>
        <w:t xml:space="preserve">roup 1 </w:t>
      </w:r>
      <w:r w:rsidR="00860561">
        <w:rPr>
          <w:rFonts w:ascii="Times New Roman" w:eastAsia="Times New Roman" w:hAnsi="Times New Roman" w:cs="Times New Roman"/>
        </w:rPr>
        <w:t>was</w:t>
      </w:r>
      <w:r w:rsidRPr="00FD3539">
        <w:rPr>
          <w:rFonts w:ascii="Times New Roman" w:eastAsia="Times New Roman" w:hAnsi="Times New Roman" w:cs="Times New Roman"/>
        </w:rPr>
        <w:t xml:space="preserve"> so far behind that the educational gap </w:t>
      </w:r>
      <w:r w:rsidR="00CE5A3D">
        <w:rPr>
          <w:rFonts w:ascii="Times New Roman" w:eastAsia="Times New Roman" w:hAnsi="Times New Roman" w:cs="Times New Roman"/>
        </w:rPr>
        <w:t>seemed to be</w:t>
      </w:r>
      <w:r w:rsidRPr="00FD3539">
        <w:rPr>
          <w:rFonts w:ascii="Times New Roman" w:eastAsia="Times New Roman" w:hAnsi="Times New Roman" w:cs="Times New Roman"/>
        </w:rPr>
        <w:t xml:space="preserve"> worsening. As such, similar to the first hypothesis, the answer to this question </w:t>
      </w:r>
      <w:r w:rsidR="00BC5F6E">
        <w:rPr>
          <w:rFonts w:ascii="Times New Roman" w:eastAsia="Times New Roman" w:hAnsi="Times New Roman" w:cs="Times New Roman"/>
        </w:rPr>
        <w:t>was</w:t>
      </w:r>
      <w:r w:rsidRPr="00FD3539">
        <w:rPr>
          <w:rFonts w:ascii="Times New Roman" w:eastAsia="Times New Roman" w:hAnsi="Times New Roman" w:cs="Times New Roman"/>
        </w:rPr>
        <w:t xml:space="preserve"> </w:t>
      </w:r>
      <w:r w:rsidR="00F00347">
        <w:rPr>
          <w:rFonts w:ascii="Times New Roman" w:eastAsia="Times New Roman" w:hAnsi="Times New Roman" w:cs="Times New Roman"/>
        </w:rPr>
        <w:t xml:space="preserve">not </w:t>
      </w:r>
      <w:r w:rsidR="007013D7">
        <w:rPr>
          <w:rFonts w:ascii="Times New Roman" w:eastAsia="Times New Roman" w:hAnsi="Times New Roman" w:cs="Times New Roman"/>
        </w:rPr>
        <w:t>definitive</w:t>
      </w:r>
      <w:r w:rsidR="008906B0">
        <w:rPr>
          <w:rFonts w:ascii="Times New Roman" w:eastAsia="Times New Roman" w:hAnsi="Times New Roman" w:cs="Times New Roman"/>
        </w:rPr>
        <w:t xml:space="preserve"> for the entire group</w:t>
      </w:r>
      <w:r w:rsidR="007013D7">
        <w:rPr>
          <w:rFonts w:ascii="Times New Roman" w:eastAsia="Times New Roman" w:hAnsi="Times New Roman" w:cs="Times New Roman"/>
        </w:rPr>
        <w:t>. Specifically, f</w:t>
      </w:r>
      <w:r w:rsidRPr="00FD3539">
        <w:rPr>
          <w:rFonts w:ascii="Times New Roman" w:eastAsia="Times New Roman" w:hAnsi="Times New Roman" w:cs="Times New Roman"/>
        </w:rPr>
        <w:t xml:space="preserve">or </w:t>
      </w:r>
      <w:r w:rsidR="00FA1DF6">
        <w:rPr>
          <w:rFonts w:ascii="Times New Roman" w:eastAsia="Times New Roman" w:hAnsi="Times New Roman" w:cs="Times New Roman"/>
        </w:rPr>
        <w:t>G</w:t>
      </w:r>
      <w:r w:rsidRPr="00FD3539">
        <w:rPr>
          <w:rFonts w:ascii="Times New Roman" w:eastAsia="Times New Roman" w:hAnsi="Times New Roman" w:cs="Times New Roman"/>
        </w:rPr>
        <w:t>roup 1, students d</w:t>
      </w:r>
      <w:r w:rsidR="008D4C69">
        <w:rPr>
          <w:rFonts w:ascii="Times New Roman" w:eastAsia="Times New Roman" w:hAnsi="Times New Roman" w:cs="Times New Roman"/>
        </w:rPr>
        <w:t>id</w:t>
      </w:r>
      <w:r w:rsidRPr="00FD3539">
        <w:rPr>
          <w:rFonts w:ascii="Times New Roman" w:eastAsia="Times New Roman" w:hAnsi="Times New Roman" w:cs="Times New Roman"/>
        </w:rPr>
        <w:t xml:space="preserve"> not show significant growth and therefore </w:t>
      </w:r>
      <w:r w:rsidR="007013D7">
        <w:rPr>
          <w:rFonts w:ascii="Times New Roman" w:eastAsia="Times New Roman" w:hAnsi="Times New Roman" w:cs="Times New Roman"/>
        </w:rPr>
        <w:t xml:space="preserve">the </w:t>
      </w:r>
      <w:r w:rsidRPr="00FD3539">
        <w:rPr>
          <w:rFonts w:ascii="Times New Roman" w:eastAsia="Times New Roman" w:hAnsi="Times New Roman" w:cs="Times New Roman"/>
        </w:rPr>
        <w:t>null hypothesis</w:t>
      </w:r>
      <w:r w:rsidR="007013D7">
        <w:rPr>
          <w:rFonts w:ascii="Times New Roman" w:eastAsia="Times New Roman" w:hAnsi="Times New Roman" w:cs="Times New Roman"/>
        </w:rPr>
        <w:t xml:space="preserve"> failed to be rejected</w:t>
      </w:r>
      <w:r w:rsidRPr="00FD3539">
        <w:rPr>
          <w:rFonts w:ascii="Times New Roman" w:eastAsia="Times New Roman" w:hAnsi="Times New Roman" w:cs="Times New Roman"/>
        </w:rPr>
        <w:t xml:space="preserve">. However, </w:t>
      </w:r>
      <w:r w:rsidR="007C1604">
        <w:rPr>
          <w:rFonts w:ascii="Times New Roman" w:eastAsia="Times New Roman" w:hAnsi="Times New Roman" w:cs="Times New Roman"/>
        </w:rPr>
        <w:t>G</w:t>
      </w:r>
      <w:r w:rsidRPr="00FD3539">
        <w:rPr>
          <w:rFonts w:ascii="Times New Roman" w:eastAsia="Times New Roman" w:hAnsi="Times New Roman" w:cs="Times New Roman"/>
        </w:rPr>
        <w:t>roup 2 show</w:t>
      </w:r>
      <w:r w:rsidR="008D4C69">
        <w:rPr>
          <w:rFonts w:ascii="Times New Roman" w:eastAsia="Times New Roman" w:hAnsi="Times New Roman" w:cs="Times New Roman"/>
        </w:rPr>
        <w:t>ed</w:t>
      </w:r>
      <w:r w:rsidRPr="00FD3539">
        <w:rPr>
          <w:rFonts w:ascii="Times New Roman" w:eastAsia="Times New Roman" w:hAnsi="Times New Roman" w:cs="Times New Roman"/>
        </w:rPr>
        <w:t xml:space="preserve"> evidence that there </w:t>
      </w:r>
      <w:r w:rsidR="00DC3B12">
        <w:rPr>
          <w:rFonts w:ascii="Times New Roman" w:eastAsia="Times New Roman" w:hAnsi="Times New Roman" w:cs="Times New Roman"/>
        </w:rPr>
        <w:t>was</w:t>
      </w:r>
      <w:r w:rsidRPr="00FD3539">
        <w:rPr>
          <w:rFonts w:ascii="Times New Roman" w:eastAsia="Times New Roman" w:hAnsi="Times New Roman" w:cs="Times New Roman"/>
        </w:rPr>
        <w:t xml:space="preserve"> growth and therefore the null hypothesis </w:t>
      </w:r>
      <w:r w:rsidR="00DC3B12">
        <w:rPr>
          <w:rFonts w:ascii="Times New Roman" w:eastAsia="Times New Roman" w:hAnsi="Times New Roman" w:cs="Times New Roman"/>
        </w:rPr>
        <w:t>was</w:t>
      </w:r>
      <w:r w:rsidRPr="00FD3539">
        <w:rPr>
          <w:rFonts w:ascii="Times New Roman" w:eastAsia="Times New Roman" w:hAnsi="Times New Roman" w:cs="Times New Roman"/>
        </w:rPr>
        <w:t xml:space="preserve"> rejected. </w:t>
      </w:r>
      <w:r w:rsidR="00030844">
        <w:rPr>
          <w:rFonts w:ascii="Times New Roman" w:eastAsia="Times New Roman" w:hAnsi="Times New Roman" w:cs="Times New Roman"/>
        </w:rPr>
        <w:t xml:space="preserve">The author suggests additional studies with other variables to define what led the groups to have different conclusions. </w:t>
      </w: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t xml:space="preserve">Figure </w:t>
      </w:r>
      <w:r w:rsidR="008E5E1C">
        <w:rPr>
          <w:rFonts w:ascii="Times New Roman" w:eastAsia="Times New Roman" w:hAnsi="Times New Roman" w:cs="Times New Roman"/>
          <w:b/>
        </w:rPr>
        <w:t>7</w:t>
      </w:r>
      <w:r w:rsidRPr="00FD3539">
        <w:rPr>
          <w:rFonts w:ascii="Times New Roman" w:eastAsia="Times New Roman" w:hAnsi="Times New Roman" w:cs="Times New Roman"/>
          <w:b/>
        </w:rPr>
        <w:t xml:space="preserve"> </w:t>
      </w:r>
    </w:p>
    <w:p w:rsidR="0010372A" w:rsidRPr="00FD3539" w:rsidRDefault="00FB3A05">
      <w:pPr>
        <w:spacing w:after="0" w:line="480" w:lineRule="auto"/>
        <w:rPr>
          <w:rFonts w:ascii="Times New Roman" w:eastAsia="Times New Roman" w:hAnsi="Times New Roman" w:cs="Times New Roman"/>
          <w:i/>
        </w:rPr>
      </w:pPr>
      <w:r w:rsidRPr="00FD3539">
        <w:rPr>
          <w:rFonts w:ascii="Times New Roman" w:eastAsia="Times New Roman" w:hAnsi="Times New Roman" w:cs="Times New Roman"/>
          <w:i/>
        </w:rPr>
        <w:t xml:space="preserve">Comparing </w:t>
      </w:r>
      <w:proofErr w:type="spellStart"/>
      <w:r w:rsidRPr="00FD3539">
        <w:rPr>
          <w:rFonts w:ascii="Times New Roman" w:eastAsia="Times New Roman" w:hAnsi="Times New Roman" w:cs="Times New Roman"/>
          <w:i/>
        </w:rPr>
        <w:t>actual_growth</w:t>
      </w:r>
      <w:proofErr w:type="spellEnd"/>
      <w:r w:rsidRPr="00FD3539">
        <w:rPr>
          <w:rFonts w:ascii="Times New Roman" w:eastAsia="Times New Roman" w:hAnsi="Times New Roman" w:cs="Times New Roman"/>
          <w:i/>
        </w:rPr>
        <w:t xml:space="preserve"> across performance level using the ANOVA test </w:t>
      </w:r>
    </w:p>
    <w:p w:rsidR="0010372A" w:rsidRPr="00FD3539" w:rsidRDefault="00FB3A05">
      <w:pPr>
        <w:spacing w:after="0" w:line="480" w:lineRule="auto"/>
        <w:jc w:val="center"/>
        <w:rPr>
          <w:rFonts w:ascii="Times New Roman" w:eastAsia="Times New Roman" w:hAnsi="Times New Roman" w:cs="Times New Roman"/>
        </w:rPr>
        <w:sectPr w:rsidR="0010372A" w:rsidRPr="00FD3539">
          <w:pgSz w:w="12240" w:h="15840"/>
          <w:pgMar w:top="1440" w:right="1440" w:bottom="1440" w:left="1440" w:header="720" w:footer="720" w:gutter="0"/>
          <w:cols w:space="720"/>
        </w:sectPr>
      </w:pPr>
      <w:r w:rsidRPr="00FD3539">
        <w:rPr>
          <w:rFonts w:ascii="Times New Roman" w:eastAsia="Times New Roman" w:hAnsi="Times New Roman" w:cs="Times New Roman"/>
          <w:i/>
          <w:noProof/>
        </w:rPr>
        <w:drawing>
          <wp:inline distT="114300" distB="114300" distL="114300" distR="114300">
            <wp:extent cx="4130040" cy="4937760"/>
            <wp:effectExtent l="19050" t="19050" r="22860" b="1524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130521" cy="4938335"/>
                    </a:xfrm>
                    <a:prstGeom prst="rect">
                      <a:avLst/>
                    </a:prstGeom>
                    <a:ln w="12700">
                      <a:solidFill>
                        <a:srgbClr val="000000"/>
                      </a:solidFill>
                      <a:prstDash val="solid"/>
                    </a:ln>
                  </pic:spPr>
                </pic:pic>
              </a:graphicData>
            </a:graphic>
          </wp:inline>
        </w:drawing>
      </w:r>
    </w:p>
    <w:p w:rsidR="0010372A" w:rsidRPr="00FD3539" w:rsidRDefault="00FB3A05">
      <w:pPr>
        <w:spacing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lastRenderedPageBreak/>
        <w:t>CONCLUSION</w:t>
      </w:r>
    </w:p>
    <w:p w:rsidR="0010372A" w:rsidRPr="00FD3539" w:rsidRDefault="00FB3A05">
      <w:pPr>
        <w:spacing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 xml:space="preserve">Evident by the results above, accepting or rejecting the null hypotheses are not always straightforward. There are instances where it is more likely that the null hypothesis is true without contest while others depend on the circumstances. Although this may seem inconclusive, this only proves that it is not easy setting up guidelines for educational </w:t>
      </w:r>
      <w:r w:rsidR="00480AD9">
        <w:rPr>
          <w:rFonts w:ascii="Times New Roman" w:eastAsia="Times New Roman" w:hAnsi="Times New Roman" w:cs="Times New Roman"/>
        </w:rPr>
        <w:t xml:space="preserve">success, </w:t>
      </w:r>
      <w:r w:rsidRPr="00FD3539">
        <w:rPr>
          <w:rFonts w:ascii="Times New Roman" w:eastAsia="Times New Roman" w:hAnsi="Times New Roman" w:cs="Times New Roman"/>
        </w:rPr>
        <w:t>so much more if it deals with statistics. On the other hand, a continued effort to better understand student performance is necessary. By constantly creating hypotheses and testing them, the district is much more likely to find</w:t>
      </w:r>
      <w:r w:rsidR="00480AD9">
        <w:rPr>
          <w:rFonts w:ascii="Times New Roman" w:eastAsia="Times New Roman" w:hAnsi="Times New Roman" w:cs="Times New Roman"/>
        </w:rPr>
        <w:t xml:space="preserve"> </w:t>
      </w:r>
      <w:r w:rsidRPr="00FD3539">
        <w:rPr>
          <w:rFonts w:ascii="Times New Roman" w:eastAsia="Times New Roman" w:hAnsi="Times New Roman" w:cs="Times New Roman"/>
        </w:rPr>
        <w:t xml:space="preserve">what works and what does not within the walls of their schools. In this example, there was clear evidence that spending more screen time is not helpful and high attrition does not contribute to the district’s low performance. Therefore, minds should shift towards the variables that do. </w:t>
      </w:r>
    </w:p>
    <w:p w:rsidR="0010372A" w:rsidRPr="00FD3539" w:rsidRDefault="00FB3A05">
      <w:pPr>
        <w:spacing w:after="0" w:line="480" w:lineRule="auto"/>
        <w:ind w:firstLine="720"/>
        <w:rPr>
          <w:rFonts w:ascii="Times New Roman" w:eastAsia="Times New Roman" w:hAnsi="Times New Roman" w:cs="Times New Roman"/>
        </w:rPr>
      </w:pPr>
      <w:r w:rsidRPr="00FD3539">
        <w:rPr>
          <w:rFonts w:ascii="Times New Roman" w:eastAsia="Gungsuh" w:hAnsi="Times New Roman" w:cs="Times New Roman"/>
        </w:rPr>
        <w:t>As a final thought and to tie-up goal</w:t>
      </w:r>
      <w:r w:rsidR="004B1572">
        <w:rPr>
          <w:rFonts w:ascii="Times New Roman" w:eastAsia="Gungsuh" w:hAnsi="Times New Roman" w:cs="Times New Roman"/>
        </w:rPr>
        <w:t>s</w:t>
      </w:r>
      <w:r w:rsidRPr="00FD3539">
        <w:rPr>
          <w:rFonts w:ascii="Times New Roman" w:eastAsia="Gungsuh" w:hAnsi="Times New Roman" w:cs="Times New Roman"/>
        </w:rPr>
        <w:t xml:space="preserve"> 1 and 2, the following Tables show proposed cut scores for determining students who are on-track to score proficiency on Spring assessments. With each administration, the district will be able to project the percentage of students who are on-track to score proficient or higher on the state assessment. Note that grades K-2 do not take state assessments, however, since they are foundational grade levels, it is better to include them and set their respective cut scores early to establish continuity. The cut scores are based on the Typical Growth results in Table 1 and may be compared to </w:t>
      </w:r>
      <w:proofErr w:type="spellStart"/>
      <w:r w:rsidRPr="00FD3539">
        <w:rPr>
          <w:rFonts w:ascii="Times New Roman" w:eastAsia="Gungsuh" w:hAnsi="Times New Roman" w:cs="Times New Roman"/>
        </w:rPr>
        <w:t>iReady’s</w:t>
      </w:r>
      <w:proofErr w:type="spellEnd"/>
      <w:r w:rsidRPr="00FD3539">
        <w:rPr>
          <w:rFonts w:ascii="Times New Roman" w:eastAsia="Gungsuh" w:hAnsi="Times New Roman" w:cs="Times New Roman"/>
        </w:rPr>
        <w:t xml:space="preserve"> Diagnostic Placement chart (see Figure 7 in Appendix). Note that 3rd Grade must achieve a ≥510 scale score before the year ends</w:t>
      </w:r>
      <w:r w:rsidR="00D2243D">
        <w:rPr>
          <w:rFonts w:ascii="Times New Roman" w:eastAsia="Gungsuh" w:hAnsi="Times New Roman" w:cs="Times New Roman"/>
        </w:rPr>
        <w:t>,</w:t>
      </w:r>
      <w:r w:rsidRPr="00FD3539">
        <w:rPr>
          <w:rFonts w:ascii="Times New Roman" w:eastAsia="Gungsuh" w:hAnsi="Times New Roman" w:cs="Times New Roman"/>
        </w:rPr>
        <w:t xml:space="preserve"> or they may not be promoted based on state law (ODE, 2022).    </w:t>
      </w:r>
    </w:p>
    <w:p w:rsidR="0010372A" w:rsidRPr="00FD3539" w:rsidRDefault="00FB3A05">
      <w:pPr>
        <w:spacing w:line="480" w:lineRule="auto"/>
        <w:rPr>
          <w:rFonts w:ascii="Times New Roman" w:eastAsia="Times New Roman" w:hAnsi="Times New Roman" w:cs="Times New Roman"/>
          <w:b/>
        </w:rPr>
      </w:pPr>
      <w:r w:rsidRPr="00FD3539">
        <w:rPr>
          <w:rFonts w:ascii="Times New Roman" w:eastAsia="Times New Roman" w:hAnsi="Times New Roman" w:cs="Times New Roman"/>
          <w:b/>
        </w:rPr>
        <w:t xml:space="preserve">Table 2 </w:t>
      </w:r>
    </w:p>
    <w:p w:rsidR="0010372A" w:rsidRPr="00FD3539" w:rsidRDefault="00FB3A05">
      <w:pPr>
        <w:spacing w:line="480" w:lineRule="auto"/>
        <w:rPr>
          <w:rFonts w:ascii="Times New Roman" w:eastAsia="Times New Roman" w:hAnsi="Times New Roman" w:cs="Times New Roman"/>
        </w:rPr>
      </w:pPr>
      <w:r w:rsidRPr="00FD3539">
        <w:rPr>
          <w:rFonts w:ascii="Times New Roman" w:eastAsia="Times New Roman" w:hAnsi="Times New Roman" w:cs="Times New Roman"/>
          <w:i/>
        </w:rPr>
        <w:t>Increase achievement with effective grade-level cut scores based on diagnostic results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On-Track in Reading</w:t>
            </w:r>
          </w:p>
        </w:tc>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Fall</w:t>
            </w:r>
          </w:p>
        </w:tc>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Winter</w:t>
            </w:r>
          </w:p>
        </w:tc>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Spring</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Kindergarten</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≥346</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≥370</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≥394</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1st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≥394</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≥419</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≥443</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rPr>
                <w:rFonts w:ascii="Times New Roman" w:eastAsia="Times New Roman" w:hAnsi="Times New Roman" w:cs="Times New Roman"/>
              </w:rPr>
            </w:pPr>
            <w:r w:rsidRPr="00FD3539">
              <w:rPr>
                <w:rFonts w:ascii="Times New Roman" w:eastAsia="Times New Roman" w:hAnsi="Times New Roman" w:cs="Times New Roman"/>
              </w:rPr>
              <w:lastRenderedPageBreak/>
              <w:t>2nd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≥443</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≥462</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≥481</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3rd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≥481</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≥495</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≥510</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4th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≥510</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≥520</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≥530</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5th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≥530</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≥538</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≥546</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6th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≥546</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≥556</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≥565</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7th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≥565</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≥574</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≥582</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pBdr>
                <w:top w:val="nil"/>
                <w:left w:val="nil"/>
                <w:bottom w:val="nil"/>
                <w:right w:val="nil"/>
                <w:between w:val="nil"/>
              </w:pBdr>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8th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≥582</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≥591</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≥600</w:t>
            </w:r>
          </w:p>
        </w:tc>
      </w:tr>
    </w:tbl>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On-Track in Math</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Fall</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Winter</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Spring</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Kindergarten</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≥336</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≥352</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≥368</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1st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≥368</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≥383</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≥397</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2nd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≥397</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≥412</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≥426</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3rd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≥426</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≥439</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≥452</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4th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≥452</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≥464</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≥475</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5th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≥475</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≥484</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≥493</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6th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≥493</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≥500</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≥507</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7th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≥507</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≥514</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≥520</w:t>
            </w:r>
          </w:p>
        </w:tc>
      </w:tr>
      <w:tr w:rsidR="0010372A" w:rsidRPr="00FD3539">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8th Grade</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≥520</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≥526</w:t>
            </w:r>
          </w:p>
        </w:tc>
        <w:tc>
          <w:tcPr>
            <w:tcW w:w="2340"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Gungsuh" w:hAnsi="Times New Roman" w:cs="Times New Roman"/>
              </w:rPr>
              <w:t>≥532</w:t>
            </w:r>
          </w:p>
        </w:tc>
      </w:tr>
    </w:tbl>
    <w:p w:rsidR="0010372A" w:rsidRPr="00FD3539" w:rsidRDefault="0010372A">
      <w:pPr>
        <w:spacing w:after="0" w:line="480" w:lineRule="auto"/>
        <w:ind w:firstLine="720"/>
        <w:rPr>
          <w:rFonts w:ascii="Times New Roman" w:eastAsia="Times New Roman" w:hAnsi="Times New Roman" w:cs="Times New Roman"/>
        </w:rPr>
      </w:pPr>
    </w:p>
    <w:p w:rsidR="0010372A" w:rsidRPr="00FD3539" w:rsidRDefault="00FB3A05">
      <w:pPr>
        <w:spacing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 xml:space="preserve">Next, the researcher proposes the following cut score (“22-23 Goal Projection”) instead of the 22-23 Goal. </w:t>
      </w:r>
      <w:r w:rsidR="00EE73E2">
        <w:rPr>
          <w:rFonts w:ascii="Times New Roman" w:eastAsia="Times New Roman" w:hAnsi="Times New Roman" w:cs="Times New Roman"/>
        </w:rPr>
        <w:t>I</w:t>
      </w:r>
      <w:r w:rsidRPr="00FD3539">
        <w:rPr>
          <w:rFonts w:ascii="Times New Roman" w:eastAsia="Times New Roman" w:hAnsi="Times New Roman" w:cs="Times New Roman"/>
        </w:rPr>
        <w:t>t is not advisable to change district goals mid-year,</w:t>
      </w:r>
      <w:r w:rsidR="00EE73E2">
        <w:rPr>
          <w:rFonts w:ascii="Times New Roman" w:eastAsia="Times New Roman" w:hAnsi="Times New Roman" w:cs="Times New Roman"/>
        </w:rPr>
        <w:t xml:space="preserve"> and for this reason,</w:t>
      </w:r>
      <w:r w:rsidRPr="00FD3539">
        <w:rPr>
          <w:rFonts w:ascii="Times New Roman" w:eastAsia="Times New Roman" w:hAnsi="Times New Roman" w:cs="Times New Roman"/>
        </w:rPr>
        <w:t xml:space="preserve"> the proposal will be hidden until the end of year when the actual results from Spring 2023 are available. This will stand as a test if the analysis of this research is sound. Lastly, the 22-23 Projection is related to the cut scores above which reflects how students are currently performing this school year. However, since students tend to perform the worst on Fall administrations, the researcher plans to recalculate this proposal after Winter administration. </w:t>
      </w:r>
    </w:p>
    <w:p w:rsidR="00E11513" w:rsidRPr="00FD3539" w:rsidRDefault="00E11513">
      <w:pPr>
        <w:spacing w:line="480" w:lineRule="auto"/>
        <w:rPr>
          <w:rFonts w:ascii="Times New Roman" w:eastAsia="Times New Roman" w:hAnsi="Times New Roman" w:cs="Times New Roman"/>
          <w:b/>
        </w:rPr>
      </w:pPr>
    </w:p>
    <w:p w:rsidR="0010372A" w:rsidRPr="00FD3539" w:rsidRDefault="00FB3A05">
      <w:pPr>
        <w:spacing w:line="480" w:lineRule="auto"/>
        <w:rPr>
          <w:rFonts w:ascii="Times New Roman" w:eastAsia="Times New Roman" w:hAnsi="Times New Roman" w:cs="Times New Roman"/>
          <w:b/>
        </w:rPr>
      </w:pPr>
      <w:r w:rsidRPr="00FD3539">
        <w:rPr>
          <w:rFonts w:ascii="Times New Roman" w:eastAsia="Times New Roman" w:hAnsi="Times New Roman" w:cs="Times New Roman"/>
          <w:b/>
        </w:rPr>
        <w:lastRenderedPageBreak/>
        <w:t>Table 3</w:t>
      </w:r>
    </w:p>
    <w:p w:rsidR="0010372A" w:rsidRPr="00FD3539" w:rsidRDefault="00FB3A05">
      <w:pPr>
        <w:spacing w:line="480" w:lineRule="auto"/>
        <w:rPr>
          <w:rFonts w:ascii="Times New Roman" w:eastAsia="Times New Roman" w:hAnsi="Times New Roman" w:cs="Times New Roman"/>
          <w:i/>
        </w:rPr>
      </w:pPr>
      <w:r w:rsidRPr="00FD3539">
        <w:rPr>
          <w:rFonts w:ascii="Times New Roman" w:eastAsia="Times New Roman" w:hAnsi="Times New Roman" w:cs="Times New Roman"/>
          <w:i/>
        </w:rPr>
        <w:t xml:space="preserve">Project overall end-of-year performance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10372A" w:rsidRPr="00FD3539">
        <w:tc>
          <w:tcPr>
            <w:tcW w:w="1337" w:type="dxa"/>
            <w:shd w:val="clear" w:color="auto" w:fill="auto"/>
            <w:tcMar>
              <w:top w:w="100" w:type="dxa"/>
              <w:left w:w="100" w:type="dxa"/>
              <w:bottom w:w="100" w:type="dxa"/>
              <w:right w:w="100" w:type="dxa"/>
            </w:tcMar>
          </w:tcPr>
          <w:p w:rsidR="0010372A" w:rsidRPr="00FD3539" w:rsidRDefault="0010372A">
            <w:pPr>
              <w:widowControl w:val="0"/>
              <w:spacing w:after="0" w:line="240" w:lineRule="auto"/>
              <w:jc w:val="center"/>
              <w:rPr>
                <w:rFonts w:ascii="Times New Roman" w:eastAsia="Times New Roman" w:hAnsi="Times New Roman" w:cs="Times New Roman"/>
                <w:b/>
              </w:rPr>
            </w:pPr>
          </w:p>
        </w:tc>
        <w:tc>
          <w:tcPr>
            <w:tcW w:w="1337" w:type="dxa"/>
            <w:shd w:val="clear" w:color="auto" w:fill="auto"/>
            <w:tcMar>
              <w:top w:w="100" w:type="dxa"/>
              <w:left w:w="100" w:type="dxa"/>
              <w:bottom w:w="100" w:type="dxa"/>
              <w:right w:w="100" w:type="dxa"/>
            </w:tcMar>
          </w:tcPr>
          <w:p w:rsidR="0010372A" w:rsidRPr="00FD3539" w:rsidRDefault="0010372A">
            <w:pPr>
              <w:widowControl w:val="0"/>
              <w:spacing w:after="0" w:line="240" w:lineRule="auto"/>
              <w:jc w:val="center"/>
              <w:rPr>
                <w:rFonts w:ascii="Times New Roman" w:eastAsia="Times New Roman" w:hAnsi="Times New Roman" w:cs="Times New Roman"/>
                <w:b/>
              </w:rPr>
            </w:pPr>
          </w:p>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Subject</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18-19 Baseline</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20-21 Results</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21-22 Actual</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22-23 Goal</w:t>
            </w:r>
          </w:p>
          <w:p w:rsidR="0010372A" w:rsidRPr="00FD3539" w:rsidRDefault="00FB3A05">
            <w:pPr>
              <w:widowControl w:val="0"/>
              <w:spacing w:after="0" w:line="240" w:lineRule="auto"/>
              <w:jc w:val="center"/>
              <w:rPr>
                <w:rFonts w:ascii="Times New Roman" w:eastAsia="Times New Roman" w:hAnsi="Times New Roman" w:cs="Times New Roman"/>
                <w:b/>
              </w:rPr>
            </w:pPr>
            <w:r w:rsidRPr="00FD3539">
              <w:rPr>
                <w:rFonts w:ascii="Times New Roman" w:eastAsia="Times New Roman" w:hAnsi="Times New Roman" w:cs="Times New Roman"/>
                <w:b/>
              </w:rPr>
              <w:t>(Current)</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b/>
                <w:i/>
              </w:rPr>
            </w:pPr>
            <w:r w:rsidRPr="00FD3539">
              <w:rPr>
                <w:rFonts w:ascii="Times New Roman" w:eastAsia="Times New Roman" w:hAnsi="Times New Roman" w:cs="Times New Roman"/>
                <w:b/>
                <w:i/>
              </w:rPr>
              <w:t>22-23 Goal Projection</w:t>
            </w:r>
          </w:p>
        </w:tc>
      </w:tr>
      <w:tr w:rsidR="0010372A" w:rsidRPr="00FD3539" w:rsidTr="00E11513">
        <w:trPr>
          <w:trHeight w:val="20"/>
        </w:trPr>
        <w:tc>
          <w:tcPr>
            <w:tcW w:w="1337" w:type="dxa"/>
            <w:vMerge w:val="restart"/>
            <w:shd w:val="clear" w:color="auto" w:fill="auto"/>
            <w:tcMar>
              <w:top w:w="100" w:type="dxa"/>
              <w:left w:w="100" w:type="dxa"/>
              <w:bottom w:w="100" w:type="dxa"/>
              <w:right w:w="100" w:type="dxa"/>
            </w:tcMar>
          </w:tcPr>
          <w:p w:rsidR="0010372A" w:rsidRPr="00FD3539" w:rsidRDefault="0010372A">
            <w:pPr>
              <w:widowControl w:val="0"/>
              <w:spacing w:after="0" w:line="240" w:lineRule="auto"/>
              <w:rPr>
                <w:rFonts w:ascii="Times New Roman" w:eastAsia="Times New Roman" w:hAnsi="Times New Roman" w:cs="Times New Roman"/>
              </w:rPr>
            </w:pPr>
          </w:p>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3</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Reading</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52%</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23%</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45%</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67%</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42%</w:t>
            </w:r>
          </w:p>
        </w:tc>
      </w:tr>
      <w:tr w:rsidR="0010372A" w:rsidRPr="00FD3539" w:rsidTr="00E11513">
        <w:trPr>
          <w:trHeight w:val="20"/>
        </w:trPr>
        <w:tc>
          <w:tcPr>
            <w:tcW w:w="1337" w:type="dxa"/>
            <w:vMerge/>
            <w:shd w:val="clear" w:color="auto" w:fill="auto"/>
            <w:tcMar>
              <w:top w:w="100" w:type="dxa"/>
              <w:left w:w="100" w:type="dxa"/>
              <w:bottom w:w="100" w:type="dxa"/>
              <w:right w:w="100" w:type="dxa"/>
            </w:tcMar>
          </w:tcPr>
          <w:p w:rsidR="0010372A" w:rsidRPr="00FD3539" w:rsidRDefault="0010372A">
            <w:pPr>
              <w:widowControl w:val="0"/>
              <w:spacing w:after="0" w:line="480" w:lineRule="auto"/>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Math</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27%</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28%</w:t>
            </w:r>
          </w:p>
        </w:tc>
      </w:tr>
      <w:tr w:rsidR="0010372A" w:rsidRPr="00FD3539">
        <w:tc>
          <w:tcPr>
            <w:tcW w:w="1337" w:type="dxa"/>
            <w:vMerge w:val="restart"/>
            <w:shd w:val="clear" w:color="auto" w:fill="auto"/>
            <w:tcMar>
              <w:top w:w="100" w:type="dxa"/>
              <w:left w:w="100" w:type="dxa"/>
              <w:bottom w:w="100" w:type="dxa"/>
              <w:right w:w="100" w:type="dxa"/>
            </w:tcMar>
          </w:tcPr>
          <w:p w:rsidR="0010372A" w:rsidRPr="00FD3539" w:rsidRDefault="0010372A">
            <w:pPr>
              <w:widowControl w:val="0"/>
              <w:spacing w:after="0" w:line="240" w:lineRule="auto"/>
              <w:rPr>
                <w:rFonts w:ascii="Times New Roman" w:eastAsia="Times New Roman" w:hAnsi="Times New Roman" w:cs="Times New Roman"/>
              </w:rPr>
            </w:pPr>
          </w:p>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4</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Reading</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41%</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54%</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67%</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50%</w:t>
            </w:r>
          </w:p>
        </w:tc>
      </w:tr>
      <w:tr w:rsidR="0010372A" w:rsidRPr="00FD3539">
        <w:tc>
          <w:tcPr>
            <w:tcW w:w="1337" w:type="dxa"/>
            <w:vMerge/>
            <w:shd w:val="clear" w:color="auto" w:fill="auto"/>
            <w:tcMar>
              <w:top w:w="100" w:type="dxa"/>
              <w:left w:w="100" w:type="dxa"/>
              <w:bottom w:w="100" w:type="dxa"/>
              <w:right w:w="100" w:type="dxa"/>
            </w:tcMar>
          </w:tcPr>
          <w:p w:rsidR="0010372A" w:rsidRPr="00FD3539" w:rsidRDefault="0010372A">
            <w:pPr>
              <w:widowControl w:val="0"/>
              <w:spacing w:after="0" w:line="480" w:lineRule="auto"/>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Math</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63%</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35%</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45%</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63%</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20%</w:t>
            </w:r>
          </w:p>
        </w:tc>
      </w:tr>
      <w:tr w:rsidR="0010372A" w:rsidRPr="00FD3539">
        <w:tc>
          <w:tcPr>
            <w:tcW w:w="1337" w:type="dxa"/>
            <w:vMerge w:val="restart"/>
            <w:shd w:val="clear" w:color="auto" w:fill="auto"/>
            <w:tcMar>
              <w:top w:w="100" w:type="dxa"/>
              <w:left w:w="100" w:type="dxa"/>
              <w:bottom w:w="100" w:type="dxa"/>
              <w:right w:w="100" w:type="dxa"/>
            </w:tcMar>
          </w:tcPr>
          <w:p w:rsidR="0010372A" w:rsidRPr="00FD3539" w:rsidRDefault="0010372A">
            <w:pPr>
              <w:widowControl w:val="0"/>
              <w:spacing w:after="0" w:line="240" w:lineRule="auto"/>
              <w:rPr>
                <w:rFonts w:ascii="Times New Roman" w:eastAsia="Times New Roman" w:hAnsi="Times New Roman" w:cs="Times New Roman"/>
              </w:rPr>
            </w:pPr>
          </w:p>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5</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Reading</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63%</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48%</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56%</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64%</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52%</w:t>
            </w:r>
          </w:p>
        </w:tc>
      </w:tr>
      <w:tr w:rsidR="0010372A" w:rsidRPr="00FD3539" w:rsidTr="00E11513">
        <w:trPr>
          <w:trHeight w:val="20"/>
        </w:trPr>
        <w:tc>
          <w:tcPr>
            <w:tcW w:w="1337" w:type="dxa"/>
            <w:vMerge/>
            <w:shd w:val="clear" w:color="auto" w:fill="auto"/>
            <w:tcMar>
              <w:top w:w="100" w:type="dxa"/>
              <w:left w:w="100" w:type="dxa"/>
              <w:bottom w:w="100" w:type="dxa"/>
              <w:right w:w="100" w:type="dxa"/>
            </w:tcMar>
          </w:tcPr>
          <w:p w:rsidR="0010372A" w:rsidRPr="00FD3539" w:rsidRDefault="0010372A">
            <w:pPr>
              <w:widowControl w:val="0"/>
              <w:spacing w:after="0" w:line="480" w:lineRule="auto"/>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Math</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49%</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35%</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12%</w:t>
            </w:r>
          </w:p>
        </w:tc>
      </w:tr>
      <w:tr w:rsidR="0010372A" w:rsidRPr="00FD3539">
        <w:tc>
          <w:tcPr>
            <w:tcW w:w="1337" w:type="dxa"/>
            <w:vMerge w:val="restart"/>
            <w:shd w:val="clear" w:color="auto" w:fill="auto"/>
            <w:tcMar>
              <w:top w:w="100" w:type="dxa"/>
              <w:left w:w="100" w:type="dxa"/>
              <w:bottom w:w="100" w:type="dxa"/>
              <w:right w:w="100" w:type="dxa"/>
            </w:tcMar>
          </w:tcPr>
          <w:p w:rsidR="0010372A" w:rsidRPr="00FD3539" w:rsidRDefault="0010372A">
            <w:pPr>
              <w:widowControl w:val="0"/>
              <w:spacing w:after="0" w:line="240" w:lineRule="auto"/>
              <w:rPr>
                <w:rFonts w:ascii="Times New Roman" w:eastAsia="Times New Roman" w:hAnsi="Times New Roman" w:cs="Times New Roman"/>
              </w:rPr>
            </w:pPr>
          </w:p>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6</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Reading</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39%</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33%</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45%</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57%</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58%</w:t>
            </w:r>
          </w:p>
        </w:tc>
      </w:tr>
      <w:tr w:rsidR="0010372A" w:rsidRPr="00FD3539">
        <w:tc>
          <w:tcPr>
            <w:tcW w:w="1337" w:type="dxa"/>
            <w:vMerge/>
            <w:shd w:val="clear" w:color="auto" w:fill="auto"/>
            <w:tcMar>
              <w:top w:w="100" w:type="dxa"/>
              <w:left w:w="100" w:type="dxa"/>
              <w:bottom w:w="100" w:type="dxa"/>
              <w:right w:w="100" w:type="dxa"/>
            </w:tcMar>
          </w:tcPr>
          <w:p w:rsidR="0010372A" w:rsidRPr="00FD3539" w:rsidRDefault="0010372A">
            <w:pPr>
              <w:widowControl w:val="0"/>
              <w:spacing w:after="0" w:line="480" w:lineRule="auto"/>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Math</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46%</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25%</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46%</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13%</w:t>
            </w:r>
          </w:p>
        </w:tc>
      </w:tr>
      <w:tr w:rsidR="0010372A" w:rsidRPr="00FD3539">
        <w:tc>
          <w:tcPr>
            <w:tcW w:w="1337" w:type="dxa"/>
            <w:vMerge w:val="restart"/>
            <w:shd w:val="clear" w:color="auto" w:fill="auto"/>
            <w:tcMar>
              <w:top w:w="100" w:type="dxa"/>
              <w:left w:w="100" w:type="dxa"/>
              <w:bottom w:w="100" w:type="dxa"/>
              <w:right w:w="100" w:type="dxa"/>
            </w:tcMar>
          </w:tcPr>
          <w:p w:rsidR="0010372A" w:rsidRPr="00FD3539" w:rsidRDefault="0010372A">
            <w:pPr>
              <w:widowControl w:val="0"/>
              <w:spacing w:after="0" w:line="240" w:lineRule="auto"/>
              <w:rPr>
                <w:rFonts w:ascii="Times New Roman" w:eastAsia="Times New Roman" w:hAnsi="Times New Roman" w:cs="Times New Roman"/>
              </w:rPr>
            </w:pPr>
          </w:p>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7</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Reading</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56%</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38%</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48%</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58%</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52%</w:t>
            </w:r>
          </w:p>
        </w:tc>
      </w:tr>
      <w:tr w:rsidR="0010372A" w:rsidRPr="00FD3539">
        <w:tc>
          <w:tcPr>
            <w:tcW w:w="1337" w:type="dxa"/>
            <w:vMerge/>
            <w:shd w:val="clear" w:color="auto" w:fill="auto"/>
            <w:tcMar>
              <w:top w:w="100" w:type="dxa"/>
              <w:left w:w="100" w:type="dxa"/>
              <w:bottom w:w="100" w:type="dxa"/>
              <w:right w:w="100" w:type="dxa"/>
            </w:tcMar>
          </w:tcPr>
          <w:p w:rsidR="0010372A" w:rsidRPr="00FD3539" w:rsidRDefault="0010372A">
            <w:pPr>
              <w:widowControl w:val="0"/>
              <w:spacing w:after="0" w:line="480" w:lineRule="auto"/>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Math</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46%</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14%</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17%</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46%</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9%</w:t>
            </w:r>
          </w:p>
        </w:tc>
      </w:tr>
      <w:tr w:rsidR="0010372A" w:rsidRPr="00FD3539">
        <w:tc>
          <w:tcPr>
            <w:tcW w:w="1337" w:type="dxa"/>
            <w:vMerge w:val="restart"/>
            <w:shd w:val="clear" w:color="auto" w:fill="auto"/>
            <w:tcMar>
              <w:top w:w="100" w:type="dxa"/>
              <w:left w:w="100" w:type="dxa"/>
              <w:bottom w:w="100" w:type="dxa"/>
              <w:right w:w="100" w:type="dxa"/>
            </w:tcMar>
          </w:tcPr>
          <w:p w:rsidR="0010372A" w:rsidRPr="00FD3539" w:rsidRDefault="0010372A">
            <w:pPr>
              <w:widowControl w:val="0"/>
              <w:spacing w:after="0" w:line="240" w:lineRule="auto"/>
              <w:rPr>
                <w:rFonts w:ascii="Times New Roman" w:eastAsia="Times New Roman" w:hAnsi="Times New Roman" w:cs="Times New Roman"/>
              </w:rPr>
            </w:pPr>
          </w:p>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8</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Reading</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34%</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29%</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36%</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42%</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43%</w:t>
            </w:r>
          </w:p>
        </w:tc>
      </w:tr>
      <w:tr w:rsidR="0010372A" w:rsidRPr="00FD3539">
        <w:tc>
          <w:tcPr>
            <w:tcW w:w="1337" w:type="dxa"/>
            <w:vMerge/>
            <w:shd w:val="clear" w:color="auto" w:fill="auto"/>
            <w:tcMar>
              <w:top w:w="100" w:type="dxa"/>
              <w:left w:w="100" w:type="dxa"/>
              <w:bottom w:w="100" w:type="dxa"/>
              <w:right w:w="100" w:type="dxa"/>
            </w:tcMar>
          </w:tcPr>
          <w:p w:rsidR="0010372A" w:rsidRPr="00FD3539" w:rsidRDefault="0010372A">
            <w:pPr>
              <w:widowControl w:val="0"/>
              <w:spacing w:after="0" w:line="480" w:lineRule="auto"/>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Math</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39%</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23%</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23%</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39%</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7%</w:t>
            </w:r>
          </w:p>
        </w:tc>
      </w:tr>
      <w:tr w:rsidR="0010372A" w:rsidRPr="00FD3539">
        <w:tc>
          <w:tcPr>
            <w:tcW w:w="1337" w:type="dxa"/>
            <w:vMerge w:val="restart"/>
            <w:shd w:val="clear" w:color="auto" w:fill="auto"/>
            <w:tcMar>
              <w:top w:w="100" w:type="dxa"/>
              <w:left w:w="100" w:type="dxa"/>
              <w:bottom w:w="100" w:type="dxa"/>
              <w:right w:w="100" w:type="dxa"/>
            </w:tcMar>
          </w:tcPr>
          <w:p w:rsidR="0010372A" w:rsidRPr="00FD3539" w:rsidRDefault="0010372A">
            <w:pPr>
              <w:widowControl w:val="0"/>
              <w:spacing w:after="0" w:line="240" w:lineRule="auto"/>
              <w:rPr>
                <w:rFonts w:ascii="Times New Roman" w:eastAsia="Times New Roman" w:hAnsi="Times New Roman" w:cs="Times New Roman"/>
              </w:rPr>
            </w:pPr>
          </w:p>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Grade 9/10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Algebra I</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27%</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20%</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27%</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10%</w:t>
            </w:r>
          </w:p>
        </w:tc>
      </w:tr>
      <w:tr w:rsidR="0010372A" w:rsidRPr="00FD3539">
        <w:tc>
          <w:tcPr>
            <w:tcW w:w="1337" w:type="dxa"/>
            <w:vMerge/>
            <w:shd w:val="clear" w:color="auto" w:fill="auto"/>
            <w:tcMar>
              <w:top w:w="100" w:type="dxa"/>
              <w:left w:w="100" w:type="dxa"/>
              <w:bottom w:w="100" w:type="dxa"/>
              <w:right w:w="100" w:type="dxa"/>
            </w:tcMar>
          </w:tcPr>
          <w:p w:rsidR="0010372A" w:rsidRPr="00FD3539" w:rsidRDefault="0010372A">
            <w:pPr>
              <w:widowControl w:val="0"/>
              <w:spacing w:after="0" w:line="480" w:lineRule="auto"/>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rPr>
                <w:rFonts w:ascii="Times New Roman" w:eastAsia="Times New Roman" w:hAnsi="Times New Roman" w:cs="Times New Roman"/>
              </w:rPr>
            </w:pPr>
            <w:r w:rsidRPr="00FD3539">
              <w:rPr>
                <w:rFonts w:ascii="Times New Roman" w:eastAsia="Times New Roman" w:hAnsi="Times New Roman" w:cs="Times New Roman"/>
              </w:rPr>
              <w:t>English II</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35%</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44%</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39%</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rPr>
            </w:pPr>
            <w:r w:rsidRPr="00FD3539">
              <w:rPr>
                <w:rFonts w:ascii="Times New Roman" w:eastAsia="Times New Roman" w:hAnsi="Times New Roman" w:cs="Times New Roman"/>
              </w:rPr>
              <w:t>44%</w:t>
            </w:r>
          </w:p>
        </w:tc>
        <w:tc>
          <w:tcPr>
            <w:tcW w:w="1337" w:type="dxa"/>
            <w:shd w:val="clear" w:color="auto" w:fill="auto"/>
            <w:tcMar>
              <w:top w:w="100" w:type="dxa"/>
              <w:left w:w="100" w:type="dxa"/>
              <w:bottom w:w="100" w:type="dxa"/>
              <w:right w:w="100" w:type="dxa"/>
            </w:tcMar>
          </w:tcPr>
          <w:p w:rsidR="0010372A" w:rsidRPr="00FD3539" w:rsidRDefault="00FB3A05">
            <w:pPr>
              <w:widowControl w:val="0"/>
              <w:spacing w:after="0" w:line="240" w:lineRule="auto"/>
              <w:jc w:val="center"/>
              <w:rPr>
                <w:rFonts w:ascii="Times New Roman" w:eastAsia="Times New Roman" w:hAnsi="Times New Roman" w:cs="Times New Roman"/>
                <w:i/>
              </w:rPr>
            </w:pPr>
            <w:r w:rsidRPr="00FD3539">
              <w:rPr>
                <w:rFonts w:ascii="Times New Roman" w:eastAsia="Times New Roman" w:hAnsi="Times New Roman" w:cs="Times New Roman"/>
                <w:i/>
              </w:rPr>
              <w:t>44%</w:t>
            </w:r>
          </w:p>
        </w:tc>
      </w:tr>
    </w:tbl>
    <w:p w:rsidR="0010372A" w:rsidRPr="00FD3539" w:rsidRDefault="0010372A">
      <w:pPr>
        <w:spacing w:after="0" w:line="480" w:lineRule="auto"/>
        <w:ind w:firstLine="720"/>
        <w:rPr>
          <w:rFonts w:ascii="Times New Roman" w:eastAsia="Times New Roman" w:hAnsi="Times New Roman" w:cs="Times New Roman"/>
          <w:b/>
        </w:rPr>
      </w:pPr>
    </w:p>
    <w:p w:rsidR="0010372A" w:rsidRPr="00FD3539" w:rsidRDefault="00FB3A05">
      <w:pPr>
        <w:spacing w:after="0" w:line="480" w:lineRule="auto"/>
        <w:ind w:firstLine="720"/>
        <w:rPr>
          <w:rFonts w:ascii="Times New Roman" w:eastAsia="Times New Roman" w:hAnsi="Times New Roman" w:cs="Times New Roman"/>
        </w:rPr>
      </w:pPr>
      <w:r w:rsidRPr="00FD3539">
        <w:rPr>
          <w:rFonts w:ascii="Times New Roman" w:eastAsia="Times New Roman" w:hAnsi="Times New Roman" w:cs="Times New Roman"/>
        </w:rPr>
        <w:t xml:space="preserve">As a final note for this section, some of the data used are limited to a single year because of the effects of remote learning and state test cancellations. Therefore, as the year goes by, the author plans to revisit this study and include additional data to strengthen its findings. In addition, at the end of the year, the author plans to revisit the cut scores and projections proposed here. By comparing the actual achievement growth and results, the author will know if the calculations </w:t>
      </w:r>
      <w:r w:rsidR="00703D8F">
        <w:rPr>
          <w:rFonts w:ascii="Times New Roman" w:eastAsia="Times New Roman" w:hAnsi="Times New Roman" w:cs="Times New Roman"/>
        </w:rPr>
        <w:t>are</w:t>
      </w:r>
      <w:r w:rsidRPr="00FD3539">
        <w:rPr>
          <w:rFonts w:ascii="Times New Roman" w:eastAsia="Times New Roman" w:hAnsi="Times New Roman" w:cs="Times New Roman"/>
        </w:rPr>
        <w:t xml:space="preserve"> on the right track. This is an evolving project and the author plans to recalibrate the tool as needed especially when the projection </w:t>
      </w:r>
      <w:r w:rsidRPr="00FD3539">
        <w:rPr>
          <w:rFonts w:ascii="Times New Roman" w:eastAsia="Times New Roman" w:hAnsi="Times New Roman" w:cs="Times New Roman"/>
        </w:rPr>
        <w:lastRenderedPageBreak/>
        <w:t>seems to be way lower than the current goals. Perhaps there will be a downward trend that administrators are not willing to look at</w:t>
      </w:r>
      <w:r w:rsidR="00DA7C8E">
        <w:rPr>
          <w:rFonts w:ascii="Times New Roman" w:eastAsia="Times New Roman" w:hAnsi="Times New Roman" w:cs="Times New Roman"/>
        </w:rPr>
        <w:t>,</w:t>
      </w:r>
      <w:r w:rsidRPr="00FD3539">
        <w:rPr>
          <w:rFonts w:ascii="Times New Roman" w:eastAsia="Times New Roman" w:hAnsi="Times New Roman" w:cs="Times New Roman"/>
        </w:rPr>
        <w:t xml:space="preserve"> and it is shown in the data. Time will tell. </w:t>
      </w:r>
    </w:p>
    <w:p w:rsidR="0010372A" w:rsidRPr="00FD3539" w:rsidRDefault="00FB3A05">
      <w:pPr>
        <w:spacing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t>RECOMMENDATIONS</w:t>
      </w:r>
    </w:p>
    <w:p w:rsidR="0010372A" w:rsidRPr="00FD3539" w:rsidRDefault="00FB3A05">
      <w:pPr>
        <w:spacing w:after="0" w:line="480" w:lineRule="auto"/>
        <w:ind w:firstLine="720"/>
        <w:rPr>
          <w:rFonts w:ascii="Times New Roman" w:eastAsia="Times New Roman" w:hAnsi="Times New Roman" w:cs="Times New Roman"/>
        </w:rPr>
        <w:sectPr w:rsidR="0010372A" w:rsidRPr="00FD3539">
          <w:pgSz w:w="12240" w:h="15840"/>
          <w:pgMar w:top="1440" w:right="1440" w:bottom="1440" w:left="1440" w:header="720" w:footer="720" w:gutter="0"/>
          <w:cols w:space="720"/>
        </w:sectPr>
      </w:pPr>
      <w:r w:rsidRPr="00FD3539">
        <w:rPr>
          <w:rFonts w:ascii="Times New Roman" w:eastAsia="Times New Roman" w:hAnsi="Times New Roman" w:cs="Times New Roman"/>
        </w:rPr>
        <w:t xml:space="preserve">The steps taken to produce the desired results in this research are considered standard in the analytics point of view. However, keep in mind that the target audience here are those who are not statisticians or have the funding to use the tools provided. For instance, SAS is not a free program and neither is Tableau. Tableau Public is not recommended as it does not have the right guardrails to protect sensitive data. Therefore, the author recommends using more accessible tools such as Sheets (Google) or Excel. Another option is R but this requires the user to know the R language. Regardless of the method chosen, the steps taken here should build the foundation to create effective cut scores and project EOY performance. On the analytics end, the author recommends revisiting the ANOVA test. There seems to be plenty of outliers though they were not present in other datasets. Another is diving deeper into the scale score distribution (see Figures </w:t>
      </w:r>
      <w:r w:rsidR="003B0CD5">
        <w:rPr>
          <w:rFonts w:ascii="Times New Roman" w:eastAsia="Times New Roman" w:hAnsi="Times New Roman" w:cs="Times New Roman"/>
        </w:rPr>
        <w:t>9</w:t>
      </w:r>
      <w:r w:rsidRPr="00FD3539">
        <w:rPr>
          <w:rFonts w:ascii="Times New Roman" w:eastAsia="Times New Roman" w:hAnsi="Times New Roman" w:cs="Times New Roman"/>
        </w:rPr>
        <w:t xml:space="preserve"> and </w:t>
      </w:r>
      <w:r w:rsidR="003B0CD5">
        <w:rPr>
          <w:rFonts w:ascii="Times New Roman" w:eastAsia="Times New Roman" w:hAnsi="Times New Roman" w:cs="Times New Roman"/>
        </w:rPr>
        <w:t>10</w:t>
      </w:r>
      <w:r w:rsidRPr="00FD3539">
        <w:rPr>
          <w:rFonts w:ascii="Times New Roman" w:eastAsia="Times New Roman" w:hAnsi="Times New Roman" w:cs="Times New Roman"/>
        </w:rPr>
        <w:t xml:space="preserve"> in the Appendix). In most cases, symmetric distributions are desired </w:t>
      </w:r>
      <w:r w:rsidR="000B746A" w:rsidRPr="00FD3539">
        <w:rPr>
          <w:rFonts w:ascii="Times New Roman" w:eastAsia="Times New Roman" w:hAnsi="Times New Roman" w:cs="Times New Roman"/>
        </w:rPr>
        <w:t>but, in this case,</w:t>
      </w:r>
      <w:r w:rsidRPr="00FD3539">
        <w:rPr>
          <w:rFonts w:ascii="Times New Roman" w:eastAsia="Times New Roman" w:hAnsi="Times New Roman" w:cs="Times New Roman"/>
        </w:rPr>
        <w:t xml:space="preserve"> it is much more preferable to have a left skewed distribution as it indicates that more students are scoring proficiently</w:t>
      </w:r>
      <w:r w:rsidR="00D21D56">
        <w:rPr>
          <w:rFonts w:ascii="Times New Roman" w:eastAsia="Times New Roman" w:hAnsi="Times New Roman" w:cs="Times New Roman"/>
        </w:rPr>
        <w:t>.</w:t>
      </w:r>
    </w:p>
    <w:p w:rsidR="0010372A" w:rsidRPr="00FD3539" w:rsidRDefault="00FB3A05">
      <w:pPr>
        <w:spacing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lastRenderedPageBreak/>
        <w:t>REFERENCES</w:t>
      </w:r>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Carlson, K. G., </w:t>
      </w:r>
      <w:proofErr w:type="spellStart"/>
      <w:r w:rsidRPr="00FD3539">
        <w:rPr>
          <w:rFonts w:ascii="Times New Roman" w:eastAsia="Times New Roman" w:hAnsi="Times New Roman" w:cs="Times New Roman"/>
        </w:rPr>
        <w:t>Shagle</w:t>
      </w:r>
      <w:proofErr w:type="spellEnd"/>
      <w:r w:rsidRPr="00FD3539">
        <w:rPr>
          <w:rFonts w:ascii="Times New Roman" w:eastAsia="Times New Roman" w:hAnsi="Times New Roman" w:cs="Times New Roman"/>
        </w:rPr>
        <w:t xml:space="preserve">-Shah, S., &amp; Ramirez, M. D. (1999). Leave no child behind: a baker's dozen strategies to increase academic achievement. </w:t>
      </w:r>
      <w:r w:rsidRPr="00FD3539">
        <w:rPr>
          <w:rFonts w:ascii="Times New Roman" w:eastAsia="Times New Roman" w:hAnsi="Times New Roman" w:cs="Times New Roman"/>
          <w:i/>
        </w:rPr>
        <w:t>Chicago Schools Academic Accountability Council</w:t>
      </w:r>
      <w:r w:rsidRPr="00FD3539">
        <w:rPr>
          <w:rFonts w:ascii="Times New Roman" w:eastAsia="Times New Roman" w:hAnsi="Times New Roman" w:cs="Times New Roman"/>
        </w:rPr>
        <w:t xml:space="preserve">. </w:t>
      </w:r>
      <w:hyperlink r:id="rId16">
        <w:r w:rsidRPr="00FD3539">
          <w:rPr>
            <w:rFonts w:ascii="Times New Roman" w:eastAsia="Times New Roman" w:hAnsi="Times New Roman" w:cs="Times New Roman"/>
            <w:color w:val="1155CC"/>
            <w:u w:val="single"/>
          </w:rPr>
          <w:t>https://eric.ed.gov/?id=ED436615</w:t>
        </w:r>
      </w:hyperlink>
    </w:p>
    <w:p w:rsidR="0010372A" w:rsidRPr="00FD3539" w:rsidRDefault="00FB3A05" w:rsidP="00734696">
      <w:pPr>
        <w:spacing w:after="0" w:line="480" w:lineRule="auto"/>
        <w:ind w:left="720" w:hanging="720"/>
        <w:rPr>
          <w:rFonts w:ascii="Times New Roman" w:eastAsia="Times New Roman" w:hAnsi="Times New Roman" w:cs="Times New Roman"/>
        </w:rPr>
      </w:pPr>
      <w:proofErr w:type="spellStart"/>
      <w:r w:rsidRPr="00FD3539">
        <w:rPr>
          <w:rFonts w:ascii="Times New Roman" w:eastAsia="Times New Roman" w:hAnsi="Times New Roman" w:cs="Times New Roman"/>
        </w:rPr>
        <w:t>Cazier</w:t>
      </w:r>
      <w:proofErr w:type="spellEnd"/>
      <w:r w:rsidRPr="00FD3539">
        <w:rPr>
          <w:rFonts w:ascii="Times New Roman" w:eastAsia="Times New Roman" w:hAnsi="Times New Roman" w:cs="Times New Roman"/>
        </w:rPr>
        <w:t xml:space="preserve">, J., Cech, T., &amp; Spaulding, T. (2015). </w:t>
      </w:r>
      <w:r w:rsidRPr="00653207">
        <w:rPr>
          <w:rFonts w:ascii="Times New Roman" w:eastAsia="Times New Roman" w:hAnsi="Times New Roman" w:cs="Times New Roman"/>
          <w:i/>
        </w:rPr>
        <w:t xml:space="preserve">Applying business analytic methods to improve organizational performance in the </w:t>
      </w:r>
      <w:proofErr w:type="gramStart"/>
      <w:r w:rsidRPr="00653207">
        <w:rPr>
          <w:rFonts w:ascii="Times New Roman" w:eastAsia="Times New Roman" w:hAnsi="Times New Roman" w:cs="Times New Roman"/>
          <w:i/>
        </w:rPr>
        <w:t>public school</w:t>
      </w:r>
      <w:proofErr w:type="gramEnd"/>
      <w:r w:rsidRPr="00653207">
        <w:rPr>
          <w:rFonts w:ascii="Times New Roman" w:eastAsia="Times New Roman" w:hAnsi="Times New Roman" w:cs="Times New Roman"/>
          <w:i/>
        </w:rPr>
        <w:t xml:space="preserve"> system</w:t>
      </w:r>
      <w:r w:rsidRPr="00FD3539">
        <w:rPr>
          <w:rFonts w:ascii="Times New Roman" w:eastAsia="Times New Roman" w:hAnsi="Times New Roman" w:cs="Times New Roman"/>
        </w:rPr>
        <w:t xml:space="preserve">. </w:t>
      </w:r>
      <w:r w:rsidRPr="00653207">
        <w:rPr>
          <w:rFonts w:ascii="Times New Roman" w:eastAsia="Times New Roman" w:hAnsi="Times New Roman" w:cs="Times New Roman"/>
        </w:rPr>
        <w:t>CORE</w:t>
      </w:r>
      <w:r w:rsidRPr="00FD3539">
        <w:rPr>
          <w:rFonts w:ascii="Times New Roman" w:eastAsia="Times New Roman" w:hAnsi="Times New Roman" w:cs="Times New Roman"/>
        </w:rPr>
        <w:t xml:space="preserve">. </w:t>
      </w:r>
      <w:hyperlink r:id="rId17">
        <w:r w:rsidRPr="00FD3539">
          <w:rPr>
            <w:rFonts w:ascii="Times New Roman" w:eastAsia="Times New Roman" w:hAnsi="Times New Roman" w:cs="Times New Roman"/>
            <w:color w:val="1155CC"/>
            <w:u w:val="single"/>
          </w:rPr>
          <w:t>https://core.ac.uk/download/pdf/301365696.pdf</w:t>
        </w:r>
      </w:hyperlink>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Cody, R. (2019). </w:t>
      </w:r>
      <w:r w:rsidRPr="00FD3539">
        <w:rPr>
          <w:rFonts w:ascii="Times New Roman" w:eastAsia="Times New Roman" w:hAnsi="Times New Roman" w:cs="Times New Roman"/>
          <w:i/>
        </w:rPr>
        <w:t>A Gentle Introduction to Statistics Using SAS Studio.</w:t>
      </w:r>
      <w:r w:rsidRPr="00FD3539">
        <w:rPr>
          <w:rFonts w:ascii="Times New Roman" w:eastAsia="Times New Roman" w:hAnsi="Times New Roman" w:cs="Times New Roman"/>
        </w:rPr>
        <w:t xml:space="preserve"> Cary, NC: SAS Institute Inc. </w:t>
      </w:r>
      <w:hyperlink r:id="rId18">
        <w:r w:rsidRPr="00FD3539">
          <w:rPr>
            <w:rFonts w:ascii="Times New Roman" w:eastAsia="Times New Roman" w:hAnsi="Times New Roman" w:cs="Times New Roman"/>
            <w:color w:val="1155CC"/>
            <w:u w:val="single"/>
          </w:rPr>
          <w:t>https://platform.virdocs.com/r/s/0/doc/1316035/sp/178880722</w:t>
        </w:r>
      </w:hyperlink>
    </w:p>
    <w:p w:rsidR="0010372A" w:rsidRPr="00FD3539" w:rsidRDefault="00FB3A05" w:rsidP="00734696">
      <w:pPr>
        <w:widowControl w:val="0"/>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Curriculum Assessments. (2022). </w:t>
      </w:r>
      <w:r w:rsidRPr="00FD3539">
        <w:rPr>
          <w:rFonts w:ascii="Times New Roman" w:eastAsia="Times New Roman" w:hAnsi="Times New Roman" w:cs="Times New Roman"/>
          <w:i/>
        </w:rPr>
        <w:t xml:space="preserve">Using iReady Diagnostic for Ohio’s Third Grade Reading Guarantee 2022-2023. </w:t>
      </w:r>
      <w:hyperlink r:id="rId19">
        <w:r w:rsidRPr="00FD3539">
          <w:rPr>
            <w:rFonts w:ascii="Times New Roman" w:eastAsia="Times New Roman" w:hAnsi="Times New Roman" w:cs="Times New Roman"/>
            <w:color w:val="1155CC"/>
            <w:u w:val="single"/>
          </w:rPr>
          <w:t>https://i-readycentral.com/articles/i-ready-diagnostic-approved-by-the-ohio-department-of-education-doe-for-the-2022-2023-school-year/</w:t>
        </w:r>
      </w:hyperlink>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Elliott, A. C., &amp; Woodward, W. A. (2015). </w:t>
      </w:r>
      <w:r w:rsidRPr="00FD3539">
        <w:rPr>
          <w:rFonts w:ascii="Times New Roman" w:eastAsia="Times New Roman" w:hAnsi="Times New Roman" w:cs="Times New Roman"/>
          <w:i/>
        </w:rPr>
        <w:t>SAS Essentials: Mastering SAS for Data Analytics</w:t>
      </w:r>
      <w:r w:rsidRPr="00FD3539">
        <w:rPr>
          <w:rFonts w:ascii="Times New Roman" w:eastAsia="Times New Roman" w:hAnsi="Times New Roman" w:cs="Times New Roman"/>
        </w:rPr>
        <w:t xml:space="preserve"> (2nd ed.). John Wiley &amp; Sons. ISBN-13: 978-1119042167</w:t>
      </w:r>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Finn, J. D., &amp; Rock, D. A. (1997). Academic success among students at risk for school failure. </w:t>
      </w:r>
      <w:r w:rsidRPr="00FD3539">
        <w:rPr>
          <w:rFonts w:ascii="Times New Roman" w:eastAsia="Times New Roman" w:hAnsi="Times New Roman" w:cs="Times New Roman"/>
          <w:i/>
        </w:rPr>
        <w:t>Journal of applied psychology, 82</w:t>
      </w:r>
      <w:r w:rsidRPr="00FD3539">
        <w:rPr>
          <w:rFonts w:ascii="Times New Roman" w:eastAsia="Times New Roman" w:hAnsi="Times New Roman" w:cs="Times New Roman"/>
        </w:rPr>
        <w:t>(2), 221.</w:t>
      </w:r>
    </w:p>
    <w:p w:rsidR="0010372A" w:rsidRPr="00FD3539" w:rsidRDefault="00FB3A05" w:rsidP="00734696">
      <w:pPr>
        <w:spacing w:after="0" w:line="480" w:lineRule="auto"/>
        <w:ind w:left="720" w:hanging="720"/>
        <w:rPr>
          <w:rFonts w:ascii="Times New Roman" w:eastAsia="Times New Roman" w:hAnsi="Times New Roman" w:cs="Times New Roman"/>
        </w:rPr>
      </w:pPr>
      <w:proofErr w:type="spellStart"/>
      <w:r w:rsidRPr="00FD3539">
        <w:rPr>
          <w:rFonts w:ascii="Times New Roman" w:eastAsia="Times New Roman" w:hAnsi="Times New Roman" w:cs="Times New Roman"/>
        </w:rPr>
        <w:t>Gajjar</w:t>
      </w:r>
      <w:proofErr w:type="spellEnd"/>
      <w:r w:rsidRPr="00FD3539">
        <w:rPr>
          <w:rFonts w:ascii="Times New Roman" w:eastAsia="Times New Roman" w:hAnsi="Times New Roman" w:cs="Times New Roman"/>
        </w:rPr>
        <w:t>, D. (2013). Ethical consideration in research.</w:t>
      </w:r>
      <w:r w:rsidRPr="00FD3539">
        <w:rPr>
          <w:rFonts w:ascii="Times New Roman" w:eastAsia="Times New Roman" w:hAnsi="Times New Roman" w:cs="Times New Roman"/>
          <w:i/>
        </w:rPr>
        <w:t xml:space="preserve"> Education, 2</w:t>
      </w:r>
      <w:r w:rsidRPr="00FD3539">
        <w:rPr>
          <w:rFonts w:ascii="Times New Roman" w:eastAsia="Times New Roman" w:hAnsi="Times New Roman" w:cs="Times New Roman"/>
        </w:rPr>
        <w:t>(7), 8-15.</w:t>
      </w:r>
    </w:p>
    <w:p w:rsidR="0010372A" w:rsidRPr="00133A4B" w:rsidRDefault="00FB3A05" w:rsidP="00734696">
      <w:pPr>
        <w:widowControl w:val="0"/>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Henderson, A. T., &amp; </w:t>
      </w:r>
      <w:proofErr w:type="spellStart"/>
      <w:r w:rsidRPr="00FD3539">
        <w:rPr>
          <w:rFonts w:ascii="Times New Roman" w:eastAsia="Times New Roman" w:hAnsi="Times New Roman" w:cs="Times New Roman"/>
        </w:rPr>
        <w:t>Berla</w:t>
      </w:r>
      <w:proofErr w:type="spellEnd"/>
      <w:r w:rsidRPr="00FD3539">
        <w:rPr>
          <w:rFonts w:ascii="Times New Roman" w:eastAsia="Times New Roman" w:hAnsi="Times New Roman" w:cs="Times New Roman"/>
        </w:rPr>
        <w:t>, N. (1994).</w:t>
      </w:r>
      <w:r w:rsidRPr="00317C2C">
        <w:rPr>
          <w:rFonts w:ascii="Times New Roman" w:eastAsia="Times New Roman" w:hAnsi="Times New Roman" w:cs="Times New Roman"/>
          <w:i/>
        </w:rPr>
        <w:t xml:space="preserve"> A new generation of evidence: The family is critical to student achievement</w:t>
      </w:r>
      <w:r w:rsidRPr="00FD3539">
        <w:rPr>
          <w:rFonts w:ascii="Times New Roman" w:eastAsia="Times New Roman" w:hAnsi="Times New Roman" w:cs="Times New Roman"/>
          <w:i/>
        </w:rPr>
        <w:t>.</w:t>
      </w:r>
      <w:r w:rsidR="00133A4B">
        <w:rPr>
          <w:rFonts w:ascii="Times New Roman" w:eastAsia="Times New Roman" w:hAnsi="Times New Roman" w:cs="Times New Roman"/>
        </w:rPr>
        <w:t xml:space="preserve"> </w:t>
      </w:r>
      <w:r w:rsidR="00133A4B" w:rsidRPr="00317C2C">
        <w:rPr>
          <w:rFonts w:ascii="Times New Roman" w:eastAsia="Times New Roman" w:hAnsi="Times New Roman" w:cs="Times New Roman"/>
        </w:rPr>
        <w:t>ERIC</w:t>
      </w:r>
      <w:r w:rsidR="00133A4B">
        <w:rPr>
          <w:rFonts w:ascii="Times New Roman" w:eastAsia="Times New Roman" w:hAnsi="Times New Roman" w:cs="Times New Roman"/>
        </w:rPr>
        <w:t xml:space="preserve">. </w:t>
      </w:r>
      <w:hyperlink r:id="rId20" w:history="1">
        <w:r w:rsidR="006828E9" w:rsidRPr="006828E9">
          <w:rPr>
            <w:rStyle w:val="Hyperlink"/>
            <w:rFonts w:ascii="Times New Roman" w:eastAsia="Times New Roman" w:hAnsi="Times New Roman" w:cs="Times New Roman"/>
          </w:rPr>
          <w:t>https://files.eric.ed.gov/fulltext/ED375968.pdf</w:t>
        </w:r>
      </w:hyperlink>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Kelleher, C., &amp; Wagener, T. (</w:t>
      </w:r>
      <w:bookmarkStart w:id="0" w:name="_GoBack"/>
      <w:bookmarkEnd w:id="0"/>
      <w:r w:rsidRPr="00FD3539">
        <w:rPr>
          <w:rFonts w:ascii="Times New Roman" w:eastAsia="Times New Roman" w:hAnsi="Times New Roman" w:cs="Times New Roman"/>
        </w:rPr>
        <w:t xml:space="preserve">2011). Ten guidelines for effective data visualization in scientific publications. </w:t>
      </w:r>
      <w:r w:rsidRPr="00FD3539">
        <w:rPr>
          <w:rFonts w:ascii="Times New Roman" w:eastAsia="Times New Roman" w:hAnsi="Times New Roman" w:cs="Times New Roman"/>
          <w:i/>
        </w:rPr>
        <w:t>Environmental Modeling &amp; Software, 26</w:t>
      </w:r>
      <w:r w:rsidRPr="00FD3539">
        <w:rPr>
          <w:rFonts w:ascii="Times New Roman" w:eastAsia="Times New Roman" w:hAnsi="Times New Roman" w:cs="Times New Roman"/>
        </w:rPr>
        <w:t>(6), 822-827.</w:t>
      </w:r>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Marr, B. (2015). </w:t>
      </w:r>
      <w:r w:rsidRPr="00FD3539">
        <w:rPr>
          <w:rFonts w:ascii="Times New Roman" w:eastAsia="Times New Roman" w:hAnsi="Times New Roman" w:cs="Times New Roman"/>
          <w:i/>
        </w:rPr>
        <w:t>Big Data: Using SMART Big Data, Analytics, and Metrics to Make Better Decisions and Improve Performance</w:t>
      </w:r>
      <w:r w:rsidRPr="00FD3539">
        <w:rPr>
          <w:rFonts w:ascii="Times New Roman" w:eastAsia="Times New Roman" w:hAnsi="Times New Roman" w:cs="Times New Roman"/>
        </w:rPr>
        <w:t xml:space="preserve"> (1st ed.). Wiley. ISBN-13: 978-1118965832</w:t>
      </w:r>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Murray, J. (2014). Critical issues facing school leaders concerning data-informed decision-making. </w:t>
      </w:r>
      <w:r w:rsidRPr="00FD3539">
        <w:rPr>
          <w:rFonts w:ascii="Times New Roman" w:eastAsia="Times New Roman" w:hAnsi="Times New Roman" w:cs="Times New Roman"/>
          <w:i/>
        </w:rPr>
        <w:t>Professional Educator, 38</w:t>
      </w:r>
      <w:r w:rsidRPr="00FD3539">
        <w:rPr>
          <w:rFonts w:ascii="Times New Roman" w:eastAsia="Times New Roman" w:hAnsi="Times New Roman" w:cs="Times New Roman"/>
        </w:rPr>
        <w:t>(1), 14-22.</w:t>
      </w:r>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lastRenderedPageBreak/>
        <w:t xml:space="preserve">Ohio Department of Education (ODE). (2022, October 14). </w:t>
      </w:r>
      <w:r w:rsidRPr="00FD3539">
        <w:rPr>
          <w:rFonts w:ascii="Times New Roman" w:eastAsia="Times New Roman" w:hAnsi="Times New Roman" w:cs="Times New Roman"/>
          <w:i/>
        </w:rPr>
        <w:t>Parent Resource Toolkit</w:t>
      </w:r>
      <w:r w:rsidRPr="00FD3539">
        <w:rPr>
          <w:rFonts w:ascii="Times New Roman" w:eastAsia="Times New Roman" w:hAnsi="Times New Roman" w:cs="Times New Roman"/>
        </w:rPr>
        <w:t xml:space="preserve">. Testing. </w:t>
      </w:r>
      <w:hyperlink r:id="rId21" w:anchor="OST">
        <w:r w:rsidRPr="00FD3539">
          <w:rPr>
            <w:rFonts w:ascii="Times New Roman" w:eastAsia="Times New Roman" w:hAnsi="Times New Roman" w:cs="Times New Roman"/>
            <w:color w:val="1155CC"/>
            <w:u w:val="single"/>
          </w:rPr>
          <w:t>https://education.ohio.gov/Topics/Testing/Testing-Forms-Rules-and-Committees/Parent-Resource-Toolkit#OST</w:t>
        </w:r>
      </w:hyperlink>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Ohio Department of Higher Education (ODHE). (2021). </w:t>
      </w:r>
      <w:r w:rsidRPr="00FD3539">
        <w:rPr>
          <w:rFonts w:ascii="Times New Roman" w:eastAsia="Times New Roman" w:hAnsi="Times New Roman" w:cs="Times New Roman"/>
          <w:i/>
        </w:rPr>
        <w:t xml:space="preserve">Ohio Attainment Annual Report. </w:t>
      </w:r>
      <w:hyperlink r:id="rId22">
        <w:r w:rsidRPr="00FD3539">
          <w:rPr>
            <w:rFonts w:ascii="Times New Roman" w:eastAsia="Times New Roman" w:hAnsi="Times New Roman" w:cs="Times New Roman"/>
            <w:color w:val="1155CC"/>
            <w:u w:val="single"/>
          </w:rPr>
          <w:t>https://www.ohiohighered.org/sites/default/files/uploads/attainment/Attainment-Report_2021_FINAL.pdf</w:t>
        </w:r>
      </w:hyperlink>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SAS. (2022).</w:t>
      </w:r>
      <w:r w:rsidRPr="00FD3539">
        <w:rPr>
          <w:rFonts w:ascii="Times New Roman" w:eastAsia="Times New Roman" w:hAnsi="Times New Roman" w:cs="Times New Roman"/>
          <w:i/>
        </w:rPr>
        <w:t xml:space="preserve"> SAS EVAAS for K-12</w:t>
      </w:r>
      <w:r w:rsidRPr="00FD3539">
        <w:rPr>
          <w:rFonts w:ascii="Times New Roman" w:eastAsia="Times New Roman" w:hAnsi="Times New Roman" w:cs="Times New Roman"/>
        </w:rPr>
        <w:t xml:space="preserve">. </w:t>
      </w:r>
      <w:hyperlink r:id="rId23" w:anchor=":~:text=Our%20Education%20Visualization%20and%20Analytics,students'%20future%20needs%20and%20goals.">
        <w:r w:rsidRPr="00FD3539">
          <w:rPr>
            <w:rFonts w:ascii="Times New Roman" w:eastAsia="Times New Roman" w:hAnsi="Times New Roman" w:cs="Times New Roman"/>
            <w:color w:val="1155CC"/>
            <w:u w:val="single"/>
          </w:rPr>
          <w:t>https://www.sas.com/en_us/software/evaas.html#:~:text=Our%20Education%20Visualization%20and%20Analytics,students'%20future%20needs%20and%20goals.</w:t>
        </w:r>
      </w:hyperlink>
    </w:p>
    <w:p w:rsidR="0010372A" w:rsidRPr="00FD3539" w:rsidRDefault="00FB3A05" w:rsidP="00734696">
      <w:pPr>
        <w:widowControl w:val="0"/>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SAS Institute (2017). </w:t>
      </w:r>
      <w:r w:rsidRPr="00FD3539">
        <w:rPr>
          <w:rFonts w:ascii="Times New Roman" w:eastAsia="Times New Roman" w:hAnsi="Times New Roman" w:cs="Times New Roman"/>
          <w:i/>
        </w:rPr>
        <w:t>Advanced predictive modeling using SAS Enterprise Miner</w:t>
      </w:r>
      <w:r w:rsidRPr="00FD3539">
        <w:rPr>
          <w:rFonts w:ascii="Times New Roman" w:eastAsia="Times New Roman" w:hAnsi="Times New Roman" w:cs="Times New Roman"/>
        </w:rPr>
        <w:t>. Cary, NC: SAS Institute Inc. ISBN-13: 978-1-63526-115-8</w:t>
      </w:r>
    </w:p>
    <w:p w:rsidR="0010372A" w:rsidRPr="00FD3539" w:rsidRDefault="00FB3A05" w:rsidP="00734696">
      <w:pPr>
        <w:spacing w:after="0" w:line="480" w:lineRule="auto"/>
        <w:ind w:left="720" w:hanging="720"/>
        <w:rPr>
          <w:rFonts w:ascii="Times New Roman" w:eastAsia="Times New Roman" w:hAnsi="Times New Roman" w:cs="Times New Roman"/>
        </w:rPr>
      </w:pPr>
      <w:r w:rsidRPr="00FD3539">
        <w:rPr>
          <w:rFonts w:ascii="Times New Roman" w:eastAsia="Times New Roman" w:hAnsi="Times New Roman" w:cs="Times New Roman"/>
        </w:rPr>
        <w:t xml:space="preserve">Shaffer, J. (2016, April 20). </w:t>
      </w:r>
      <w:r w:rsidRPr="008931F0">
        <w:rPr>
          <w:rFonts w:ascii="Times New Roman" w:eastAsia="Times New Roman" w:hAnsi="Times New Roman" w:cs="Times New Roman"/>
        </w:rPr>
        <w:t>5 tips on designing colorblind-friendly visualizations</w:t>
      </w:r>
      <w:r w:rsidRPr="00FD3539">
        <w:rPr>
          <w:rFonts w:ascii="Times New Roman" w:eastAsia="Times New Roman" w:hAnsi="Times New Roman" w:cs="Times New Roman"/>
          <w:i/>
        </w:rPr>
        <w:t>.</w:t>
      </w:r>
      <w:r w:rsidRPr="00FD3539">
        <w:rPr>
          <w:rFonts w:ascii="Times New Roman" w:eastAsia="Times New Roman" w:hAnsi="Times New Roman" w:cs="Times New Roman"/>
        </w:rPr>
        <w:t xml:space="preserve"> </w:t>
      </w:r>
      <w:r w:rsidRPr="006D49F9">
        <w:rPr>
          <w:rFonts w:ascii="Times New Roman" w:eastAsia="Times New Roman" w:hAnsi="Times New Roman" w:cs="Times New Roman"/>
          <w:i/>
        </w:rPr>
        <w:t>Tableau</w:t>
      </w:r>
      <w:r w:rsidRPr="00FD3539">
        <w:rPr>
          <w:rFonts w:ascii="Times New Roman" w:eastAsia="Times New Roman" w:hAnsi="Times New Roman" w:cs="Times New Roman"/>
        </w:rPr>
        <w:t xml:space="preserve">. </w:t>
      </w:r>
      <w:hyperlink r:id="rId24">
        <w:r w:rsidRPr="00FD3539">
          <w:rPr>
            <w:rFonts w:ascii="Times New Roman" w:eastAsia="Times New Roman" w:hAnsi="Times New Roman" w:cs="Times New Roman"/>
            <w:color w:val="1155CC"/>
            <w:u w:val="single"/>
          </w:rPr>
          <w:t>https://www.tableau.com/about/blog/examining-data-viz-rules-dont-use-red-green-together</w:t>
        </w:r>
      </w:hyperlink>
    </w:p>
    <w:p w:rsidR="0010372A" w:rsidRPr="00FD3539" w:rsidRDefault="00FB3A05" w:rsidP="00734696">
      <w:pPr>
        <w:spacing w:after="0" w:line="480" w:lineRule="auto"/>
        <w:rPr>
          <w:rFonts w:ascii="Times New Roman" w:eastAsia="Times New Roman" w:hAnsi="Times New Roman" w:cs="Times New Roman"/>
        </w:rPr>
        <w:sectPr w:rsidR="0010372A" w:rsidRPr="00FD3539">
          <w:pgSz w:w="12240" w:h="15840"/>
          <w:pgMar w:top="1440" w:right="1440" w:bottom="1440" w:left="1440" w:header="720" w:footer="720" w:gutter="0"/>
          <w:cols w:space="720"/>
        </w:sectPr>
      </w:pPr>
      <w:proofErr w:type="spellStart"/>
      <w:r w:rsidRPr="00FD3539">
        <w:rPr>
          <w:rFonts w:ascii="Times New Roman" w:eastAsia="Times New Roman" w:hAnsi="Times New Roman" w:cs="Times New Roman"/>
        </w:rPr>
        <w:t>Toglia</w:t>
      </w:r>
      <w:proofErr w:type="spellEnd"/>
      <w:r w:rsidRPr="00FD3539">
        <w:rPr>
          <w:rFonts w:ascii="Times New Roman" w:eastAsia="Times New Roman" w:hAnsi="Times New Roman" w:cs="Times New Roman"/>
        </w:rPr>
        <w:t xml:space="preserve">, T. V. (2007). How does </w:t>
      </w:r>
      <w:r w:rsidR="00A74C5F">
        <w:rPr>
          <w:rFonts w:ascii="Times New Roman" w:eastAsia="Times New Roman" w:hAnsi="Times New Roman" w:cs="Times New Roman"/>
        </w:rPr>
        <w:t>FERPA</w:t>
      </w:r>
      <w:r w:rsidRPr="00FD3539">
        <w:rPr>
          <w:rFonts w:ascii="Times New Roman" w:eastAsia="Times New Roman" w:hAnsi="Times New Roman" w:cs="Times New Roman"/>
        </w:rPr>
        <w:t xml:space="preserve"> affect you? </w:t>
      </w:r>
      <w:r w:rsidRPr="00FD3539">
        <w:rPr>
          <w:rFonts w:ascii="Times New Roman" w:eastAsia="Times New Roman" w:hAnsi="Times New Roman" w:cs="Times New Roman"/>
          <w:i/>
        </w:rPr>
        <w:t>Tech Directions, 67</w:t>
      </w:r>
      <w:r w:rsidRPr="00FD3539">
        <w:rPr>
          <w:rFonts w:ascii="Times New Roman" w:eastAsia="Times New Roman" w:hAnsi="Times New Roman" w:cs="Times New Roman"/>
        </w:rPr>
        <w:t>(2).</w:t>
      </w:r>
    </w:p>
    <w:p w:rsidR="0010372A" w:rsidRPr="00FD3539" w:rsidRDefault="00FB3A05">
      <w:pPr>
        <w:spacing w:after="0" w:line="480" w:lineRule="auto"/>
        <w:jc w:val="center"/>
        <w:rPr>
          <w:rFonts w:ascii="Times New Roman" w:eastAsia="Times New Roman" w:hAnsi="Times New Roman" w:cs="Times New Roman"/>
          <w:b/>
        </w:rPr>
      </w:pPr>
      <w:r w:rsidRPr="00FD3539">
        <w:rPr>
          <w:rFonts w:ascii="Times New Roman" w:eastAsia="Times New Roman" w:hAnsi="Times New Roman" w:cs="Times New Roman"/>
          <w:b/>
        </w:rPr>
        <w:lastRenderedPageBreak/>
        <w:t>Appendix</w:t>
      </w: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t xml:space="preserve">Figure </w:t>
      </w:r>
      <w:r w:rsidR="0038542D">
        <w:rPr>
          <w:rFonts w:ascii="Times New Roman" w:eastAsia="Times New Roman" w:hAnsi="Times New Roman" w:cs="Times New Roman"/>
          <w:b/>
        </w:rPr>
        <w:t>8</w:t>
      </w:r>
    </w:p>
    <w:p w:rsidR="0010372A" w:rsidRPr="00FD3539" w:rsidRDefault="00FB3A05">
      <w:pPr>
        <w:spacing w:after="0" w:line="480" w:lineRule="auto"/>
        <w:rPr>
          <w:rFonts w:ascii="Times New Roman" w:eastAsia="Times New Roman" w:hAnsi="Times New Roman" w:cs="Times New Roman"/>
          <w:i/>
        </w:rPr>
      </w:pPr>
      <w:r w:rsidRPr="00FD3539">
        <w:rPr>
          <w:rFonts w:ascii="Times New Roman" w:eastAsia="Times New Roman" w:hAnsi="Times New Roman" w:cs="Times New Roman"/>
          <w:i/>
        </w:rPr>
        <w:t xml:space="preserve">iReady Reading and Math Diagnostic Placement </w:t>
      </w:r>
    </w:p>
    <w:p w:rsidR="0010372A" w:rsidRPr="00FD3539" w:rsidRDefault="00FB3A05">
      <w:pPr>
        <w:spacing w:after="0" w:line="480" w:lineRule="auto"/>
        <w:jc w:val="center"/>
        <w:rPr>
          <w:rFonts w:ascii="Times New Roman" w:eastAsia="Times New Roman" w:hAnsi="Times New Roman" w:cs="Times New Roman"/>
        </w:rPr>
      </w:pPr>
      <w:r w:rsidRPr="00FD3539">
        <w:rPr>
          <w:rFonts w:ascii="Times New Roman" w:eastAsia="Times New Roman" w:hAnsi="Times New Roman" w:cs="Times New Roman"/>
          <w:noProof/>
        </w:rPr>
        <w:drawing>
          <wp:inline distT="114300" distB="114300" distL="114300" distR="114300">
            <wp:extent cx="3346480" cy="3041414"/>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346480" cy="3041414"/>
                    </a:xfrm>
                    <a:prstGeom prst="rect">
                      <a:avLst/>
                    </a:prstGeom>
                    <a:ln/>
                  </pic:spPr>
                </pic:pic>
              </a:graphicData>
            </a:graphic>
          </wp:inline>
        </w:drawing>
      </w:r>
      <w:r w:rsidRPr="00FD3539">
        <w:rPr>
          <w:rFonts w:ascii="Times New Roman" w:eastAsia="Times New Roman" w:hAnsi="Times New Roman" w:cs="Times New Roman"/>
          <w:noProof/>
        </w:rPr>
        <w:drawing>
          <wp:inline distT="114300" distB="114300" distL="114300" distR="114300">
            <wp:extent cx="3204026" cy="310773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204026" cy="3107730"/>
                    </a:xfrm>
                    <a:prstGeom prst="rect">
                      <a:avLst/>
                    </a:prstGeom>
                    <a:ln/>
                  </pic:spPr>
                </pic:pic>
              </a:graphicData>
            </a:graphic>
          </wp:inline>
        </w:drawing>
      </w:r>
    </w:p>
    <w:p w:rsidR="0010372A" w:rsidRPr="00FD3539" w:rsidRDefault="00FB3A05">
      <w:pPr>
        <w:spacing w:after="0" w:line="480" w:lineRule="auto"/>
        <w:rPr>
          <w:rFonts w:ascii="Times New Roman" w:eastAsia="Times New Roman" w:hAnsi="Times New Roman" w:cs="Times New Roman"/>
          <w:i/>
        </w:rPr>
        <w:sectPr w:rsidR="0010372A" w:rsidRPr="00FD3539">
          <w:pgSz w:w="12240" w:h="15840"/>
          <w:pgMar w:top="1440" w:right="1440" w:bottom="1440" w:left="1440" w:header="720" w:footer="720" w:gutter="0"/>
          <w:cols w:space="720"/>
        </w:sectPr>
      </w:pPr>
      <w:r w:rsidRPr="00FD3539">
        <w:rPr>
          <w:rFonts w:ascii="Times New Roman" w:eastAsia="Times New Roman" w:hAnsi="Times New Roman" w:cs="Times New Roman"/>
          <w:i/>
        </w:rPr>
        <w:t>Note. iReady Diagnostic Placement. From Curriculum Associates Guidance Brief, by Curriculum Associates. Copyright 2022 by Curriculum Associates.</w:t>
      </w: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lastRenderedPageBreak/>
        <w:t xml:space="preserve">Figure </w:t>
      </w:r>
      <w:r w:rsidR="0038542D">
        <w:rPr>
          <w:rFonts w:ascii="Times New Roman" w:eastAsia="Times New Roman" w:hAnsi="Times New Roman" w:cs="Times New Roman"/>
          <w:b/>
        </w:rPr>
        <w:t>9</w:t>
      </w:r>
    </w:p>
    <w:p w:rsidR="0010372A" w:rsidRPr="00FD3539" w:rsidRDefault="00FB3A05">
      <w:pPr>
        <w:spacing w:after="0" w:line="276" w:lineRule="auto"/>
        <w:rPr>
          <w:rFonts w:ascii="Times New Roman" w:eastAsia="Times New Roman" w:hAnsi="Times New Roman" w:cs="Times New Roman"/>
          <w:i/>
        </w:rPr>
      </w:pPr>
      <w:r w:rsidRPr="00FD3539">
        <w:rPr>
          <w:rFonts w:ascii="Times New Roman" w:eastAsia="Times New Roman" w:hAnsi="Times New Roman" w:cs="Times New Roman"/>
          <w:i/>
        </w:rPr>
        <w:t>Grades kindergarten through 8th Math and Reading diagnostic scale score distribution</w:t>
      </w:r>
    </w:p>
    <w:p w:rsidR="0010372A" w:rsidRPr="00FD3539" w:rsidRDefault="0010372A">
      <w:pPr>
        <w:spacing w:after="0" w:line="276" w:lineRule="auto"/>
        <w:rPr>
          <w:rFonts w:ascii="Times New Roman" w:eastAsia="Times New Roman" w:hAnsi="Times New Roman" w:cs="Times New Roman"/>
          <w:i/>
        </w:rPr>
      </w:pPr>
    </w:p>
    <w:p w:rsidR="0010372A" w:rsidRPr="00FD3539" w:rsidRDefault="00FB3A05">
      <w:pPr>
        <w:spacing w:after="0" w:line="276" w:lineRule="auto"/>
        <w:jc w:val="center"/>
        <w:rPr>
          <w:rFonts w:ascii="Times New Roman" w:eastAsia="Arial" w:hAnsi="Times New Roman" w:cs="Times New Roman"/>
        </w:rPr>
      </w:pPr>
      <w:r w:rsidRPr="00FD3539">
        <w:rPr>
          <w:rFonts w:ascii="Times New Roman" w:eastAsia="Arial" w:hAnsi="Times New Roman" w:cs="Times New Roman"/>
          <w:noProof/>
        </w:rPr>
        <w:drawing>
          <wp:inline distT="114300" distB="114300" distL="114300" distR="114300">
            <wp:extent cx="5776913" cy="3601312"/>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776913" cy="3601312"/>
                    </a:xfrm>
                    <a:prstGeom prst="rect">
                      <a:avLst/>
                    </a:prstGeom>
                    <a:ln w="12700">
                      <a:solidFill>
                        <a:srgbClr val="000000"/>
                      </a:solidFill>
                      <a:prstDash val="solid"/>
                    </a:ln>
                  </pic:spPr>
                </pic:pic>
              </a:graphicData>
            </a:graphic>
          </wp:inline>
        </w:drawing>
      </w:r>
    </w:p>
    <w:p w:rsidR="0010372A" w:rsidRPr="00FD3539" w:rsidRDefault="00FB3A05">
      <w:pPr>
        <w:spacing w:after="0" w:line="276" w:lineRule="auto"/>
        <w:jc w:val="center"/>
        <w:rPr>
          <w:rFonts w:ascii="Times New Roman" w:eastAsia="Arial" w:hAnsi="Times New Roman" w:cs="Times New Roman"/>
        </w:rPr>
      </w:pPr>
      <w:r w:rsidRPr="00FD3539">
        <w:rPr>
          <w:rFonts w:ascii="Times New Roman" w:eastAsia="Arial" w:hAnsi="Times New Roman" w:cs="Times New Roman"/>
          <w:noProof/>
        </w:rPr>
        <w:drawing>
          <wp:inline distT="114300" distB="114300" distL="114300" distR="114300">
            <wp:extent cx="5786438" cy="3588704"/>
            <wp:effectExtent l="12700" t="12700" r="12700" b="127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786438" cy="3588704"/>
                    </a:xfrm>
                    <a:prstGeom prst="rect">
                      <a:avLst/>
                    </a:prstGeom>
                    <a:ln w="12700">
                      <a:solidFill>
                        <a:srgbClr val="000000"/>
                      </a:solidFill>
                      <a:prstDash val="solid"/>
                    </a:ln>
                  </pic:spPr>
                </pic:pic>
              </a:graphicData>
            </a:graphic>
          </wp:inline>
        </w:drawing>
      </w:r>
    </w:p>
    <w:p w:rsidR="0010372A" w:rsidRPr="00FD3539" w:rsidRDefault="00FB3A05">
      <w:pPr>
        <w:spacing w:after="0" w:line="276" w:lineRule="auto"/>
        <w:rPr>
          <w:rFonts w:ascii="Times New Roman" w:eastAsia="Arial" w:hAnsi="Times New Roman" w:cs="Times New Roman"/>
        </w:rPr>
      </w:pPr>
      <w:r w:rsidRPr="00FD3539">
        <w:rPr>
          <w:rFonts w:ascii="Times New Roman" w:eastAsia="Arial" w:hAnsi="Times New Roman" w:cs="Times New Roman"/>
          <w:noProof/>
        </w:rPr>
        <w:lastRenderedPageBreak/>
        <w:drawing>
          <wp:inline distT="114300" distB="114300" distL="114300" distR="114300">
            <wp:extent cx="5943600" cy="3670300"/>
            <wp:effectExtent l="12700" t="12700" r="12700" b="1270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943600" cy="3670300"/>
                    </a:xfrm>
                    <a:prstGeom prst="rect">
                      <a:avLst/>
                    </a:prstGeom>
                    <a:ln w="12700">
                      <a:solidFill>
                        <a:srgbClr val="000000"/>
                      </a:solidFill>
                      <a:prstDash val="solid"/>
                    </a:ln>
                  </pic:spPr>
                </pic:pic>
              </a:graphicData>
            </a:graphic>
          </wp:inline>
        </w:drawing>
      </w:r>
    </w:p>
    <w:p w:rsidR="0010372A" w:rsidRPr="00FD3539" w:rsidRDefault="00FB3A05">
      <w:pPr>
        <w:spacing w:after="0" w:line="276" w:lineRule="auto"/>
        <w:rPr>
          <w:rFonts w:ascii="Times New Roman" w:eastAsia="Arial" w:hAnsi="Times New Roman" w:cs="Times New Roman"/>
        </w:rPr>
      </w:pPr>
      <w:r w:rsidRPr="00FD3539">
        <w:rPr>
          <w:rFonts w:ascii="Times New Roman" w:eastAsia="Arial" w:hAnsi="Times New Roman" w:cs="Times New Roman"/>
          <w:noProof/>
        </w:rPr>
        <w:drawing>
          <wp:inline distT="114300" distB="114300" distL="114300" distR="114300">
            <wp:extent cx="5943600" cy="3695700"/>
            <wp:effectExtent l="12700" t="12700" r="12700" b="127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943600" cy="3695700"/>
                    </a:xfrm>
                    <a:prstGeom prst="rect">
                      <a:avLst/>
                    </a:prstGeom>
                    <a:ln w="12700">
                      <a:solidFill>
                        <a:srgbClr val="000000"/>
                      </a:solidFill>
                      <a:prstDash val="solid"/>
                    </a:ln>
                  </pic:spPr>
                </pic:pic>
              </a:graphicData>
            </a:graphic>
          </wp:inline>
        </w:drawing>
      </w:r>
    </w:p>
    <w:p w:rsidR="0010372A" w:rsidRPr="00FD3539" w:rsidRDefault="00FB3A05">
      <w:pPr>
        <w:spacing w:after="0" w:line="276" w:lineRule="auto"/>
        <w:rPr>
          <w:rFonts w:ascii="Times New Roman" w:eastAsia="Arial" w:hAnsi="Times New Roman" w:cs="Times New Roman"/>
        </w:rPr>
      </w:pPr>
      <w:r w:rsidRPr="00FD3539">
        <w:rPr>
          <w:rFonts w:ascii="Times New Roman" w:eastAsia="Arial" w:hAnsi="Times New Roman" w:cs="Times New Roman"/>
          <w:noProof/>
        </w:rPr>
        <w:lastRenderedPageBreak/>
        <w:drawing>
          <wp:inline distT="114300" distB="114300" distL="114300" distR="114300">
            <wp:extent cx="5943600" cy="3683000"/>
            <wp:effectExtent l="12700" t="12700" r="12700" b="127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943600" cy="3683000"/>
                    </a:xfrm>
                    <a:prstGeom prst="rect">
                      <a:avLst/>
                    </a:prstGeom>
                    <a:ln w="12700">
                      <a:solidFill>
                        <a:srgbClr val="000000"/>
                      </a:solidFill>
                      <a:prstDash val="solid"/>
                    </a:ln>
                  </pic:spPr>
                </pic:pic>
              </a:graphicData>
            </a:graphic>
          </wp:inline>
        </w:drawing>
      </w:r>
    </w:p>
    <w:p w:rsidR="0010372A" w:rsidRPr="00FD3539" w:rsidRDefault="00FB3A05">
      <w:pPr>
        <w:spacing w:after="0" w:line="276" w:lineRule="auto"/>
        <w:rPr>
          <w:rFonts w:ascii="Times New Roman" w:eastAsia="Arial" w:hAnsi="Times New Roman" w:cs="Times New Roman"/>
        </w:rPr>
      </w:pPr>
      <w:r w:rsidRPr="00FD3539">
        <w:rPr>
          <w:rFonts w:ascii="Times New Roman" w:eastAsia="Arial" w:hAnsi="Times New Roman" w:cs="Times New Roman"/>
          <w:noProof/>
        </w:rPr>
        <w:drawing>
          <wp:inline distT="114300" distB="114300" distL="114300" distR="114300">
            <wp:extent cx="5943600" cy="3683000"/>
            <wp:effectExtent l="12700" t="12700" r="12700" b="127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5943600" cy="3683000"/>
                    </a:xfrm>
                    <a:prstGeom prst="rect">
                      <a:avLst/>
                    </a:prstGeom>
                    <a:ln w="12700">
                      <a:solidFill>
                        <a:srgbClr val="000000"/>
                      </a:solidFill>
                      <a:prstDash val="solid"/>
                    </a:ln>
                  </pic:spPr>
                </pic:pic>
              </a:graphicData>
            </a:graphic>
          </wp:inline>
        </w:drawing>
      </w:r>
    </w:p>
    <w:p w:rsidR="0010372A" w:rsidRPr="00FD3539" w:rsidRDefault="0010372A">
      <w:pPr>
        <w:spacing w:after="0" w:line="480" w:lineRule="auto"/>
        <w:rPr>
          <w:rFonts w:ascii="Times New Roman" w:eastAsia="Times New Roman" w:hAnsi="Times New Roman" w:cs="Times New Roman"/>
          <w:b/>
        </w:rPr>
        <w:sectPr w:rsidR="0010372A" w:rsidRPr="00FD3539">
          <w:pgSz w:w="12240" w:h="15840"/>
          <w:pgMar w:top="1440" w:right="1440" w:bottom="1440" w:left="1440" w:header="720" w:footer="720" w:gutter="0"/>
          <w:cols w:space="720"/>
        </w:sectPr>
      </w:pPr>
    </w:p>
    <w:p w:rsidR="0010372A" w:rsidRPr="00FD3539" w:rsidRDefault="00FB3A05">
      <w:pPr>
        <w:spacing w:after="0" w:line="480" w:lineRule="auto"/>
        <w:rPr>
          <w:rFonts w:ascii="Times New Roman" w:eastAsia="Times New Roman" w:hAnsi="Times New Roman" w:cs="Times New Roman"/>
          <w:b/>
        </w:rPr>
      </w:pPr>
      <w:r w:rsidRPr="00FD3539">
        <w:rPr>
          <w:rFonts w:ascii="Times New Roman" w:eastAsia="Times New Roman" w:hAnsi="Times New Roman" w:cs="Times New Roman"/>
          <w:b/>
        </w:rPr>
        <w:lastRenderedPageBreak/>
        <w:t>Figure 10</w:t>
      </w:r>
    </w:p>
    <w:p w:rsidR="0010372A" w:rsidRPr="00FD3539" w:rsidRDefault="00FB3A05">
      <w:pPr>
        <w:spacing w:after="0" w:line="276" w:lineRule="auto"/>
        <w:rPr>
          <w:rFonts w:ascii="Times New Roman" w:eastAsia="Times New Roman" w:hAnsi="Times New Roman" w:cs="Times New Roman"/>
          <w:i/>
        </w:rPr>
      </w:pPr>
      <w:r w:rsidRPr="00FD3539">
        <w:rPr>
          <w:rFonts w:ascii="Times New Roman" w:eastAsia="Times New Roman" w:hAnsi="Times New Roman" w:cs="Times New Roman"/>
          <w:i/>
        </w:rPr>
        <w:t>Grades 3rd to 10th Math and Reading state test scale score distribution</w:t>
      </w:r>
    </w:p>
    <w:p w:rsidR="0010372A" w:rsidRPr="00FD3539" w:rsidRDefault="0010372A">
      <w:pPr>
        <w:spacing w:after="0" w:line="276" w:lineRule="auto"/>
        <w:rPr>
          <w:rFonts w:ascii="Times New Roman" w:eastAsia="Times New Roman" w:hAnsi="Times New Roman" w:cs="Times New Roman"/>
          <w:i/>
        </w:rPr>
      </w:pPr>
    </w:p>
    <w:p w:rsidR="0010372A" w:rsidRPr="00FD3539" w:rsidRDefault="00FB3A05">
      <w:pPr>
        <w:spacing w:after="0" w:line="276" w:lineRule="auto"/>
        <w:rPr>
          <w:rFonts w:ascii="Times New Roman" w:eastAsia="Arial" w:hAnsi="Times New Roman" w:cs="Times New Roman"/>
        </w:rPr>
      </w:pPr>
      <w:r w:rsidRPr="00FD3539">
        <w:rPr>
          <w:rFonts w:ascii="Times New Roman" w:eastAsia="Arial" w:hAnsi="Times New Roman" w:cs="Times New Roman"/>
          <w:noProof/>
        </w:rPr>
        <w:drawing>
          <wp:inline distT="114300" distB="114300" distL="114300" distR="114300">
            <wp:extent cx="5943600" cy="3619500"/>
            <wp:effectExtent l="12700" t="12700" r="12700" b="1270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5943600" cy="3619500"/>
                    </a:xfrm>
                    <a:prstGeom prst="rect">
                      <a:avLst/>
                    </a:prstGeom>
                    <a:ln w="12700">
                      <a:solidFill>
                        <a:srgbClr val="000000"/>
                      </a:solidFill>
                      <a:prstDash val="solid"/>
                    </a:ln>
                  </pic:spPr>
                </pic:pic>
              </a:graphicData>
            </a:graphic>
          </wp:inline>
        </w:drawing>
      </w:r>
    </w:p>
    <w:p w:rsidR="0010372A" w:rsidRPr="00FD3539" w:rsidRDefault="00FB3A05">
      <w:pPr>
        <w:spacing w:after="0" w:line="276" w:lineRule="auto"/>
        <w:rPr>
          <w:rFonts w:ascii="Times New Roman" w:eastAsia="Arial" w:hAnsi="Times New Roman" w:cs="Times New Roman"/>
        </w:rPr>
      </w:pPr>
      <w:r w:rsidRPr="00FD3539">
        <w:rPr>
          <w:rFonts w:ascii="Times New Roman" w:eastAsia="Arial" w:hAnsi="Times New Roman" w:cs="Times New Roman"/>
          <w:noProof/>
        </w:rPr>
        <w:drawing>
          <wp:inline distT="114300" distB="114300" distL="114300" distR="114300">
            <wp:extent cx="5943600" cy="3594100"/>
            <wp:effectExtent l="12700" t="12700" r="12700" b="127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5943600" cy="3594100"/>
                    </a:xfrm>
                    <a:prstGeom prst="rect">
                      <a:avLst/>
                    </a:prstGeom>
                    <a:ln w="12700">
                      <a:solidFill>
                        <a:srgbClr val="000000"/>
                      </a:solidFill>
                      <a:prstDash val="solid"/>
                    </a:ln>
                  </pic:spPr>
                </pic:pic>
              </a:graphicData>
            </a:graphic>
          </wp:inline>
        </w:drawing>
      </w:r>
    </w:p>
    <w:p w:rsidR="0010372A" w:rsidRPr="00FD3539" w:rsidRDefault="00FB3A05">
      <w:pPr>
        <w:spacing w:after="0" w:line="276" w:lineRule="auto"/>
        <w:rPr>
          <w:rFonts w:ascii="Times New Roman" w:eastAsia="Arial" w:hAnsi="Times New Roman" w:cs="Times New Roman"/>
        </w:rPr>
      </w:pPr>
      <w:r w:rsidRPr="00FD3539">
        <w:rPr>
          <w:rFonts w:ascii="Times New Roman" w:eastAsia="Arial" w:hAnsi="Times New Roman" w:cs="Times New Roman"/>
          <w:noProof/>
        </w:rPr>
        <w:lastRenderedPageBreak/>
        <w:drawing>
          <wp:inline distT="114300" distB="114300" distL="114300" distR="114300">
            <wp:extent cx="5943600" cy="3619500"/>
            <wp:effectExtent l="12700" t="12700" r="12700" b="127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5943600" cy="3619500"/>
                    </a:xfrm>
                    <a:prstGeom prst="rect">
                      <a:avLst/>
                    </a:prstGeom>
                    <a:ln w="12700">
                      <a:solidFill>
                        <a:srgbClr val="000000"/>
                      </a:solidFill>
                      <a:prstDash val="solid"/>
                    </a:ln>
                  </pic:spPr>
                </pic:pic>
              </a:graphicData>
            </a:graphic>
          </wp:inline>
        </w:drawing>
      </w:r>
    </w:p>
    <w:sectPr w:rsidR="0010372A" w:rsidRPr="00FD35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586" w:rsidRDefault="008F4586">
      <w:pPr>
        <w:spacing w:after="0" w:line="240" w:lineRule="auto"/>
      </w:pPr>
      <w:r>
        <w:separator/>
      </w:r>
    </w:p>
  </w:endnote>
  <w:endnote w:type="continuationSeparator" w:id="0">
    <w:p w:rsidR="008F4586" w:rsidRDefault="008F4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586" w:rsidRDefault="008F4586">
      <w:pPr>
        <w:spacing w:after="0" w:line="240" w:lineRule="auto"/>
      </w:pPr>
      <w:r>
        <w:separator/>
      </w:r>
    </w:p>
  </w:footnote>
  <w:footnote w:type="continuationSeparator" w:id="0">
    <w:p w:rsidR="008F4586" w:rsidRDefault="008F4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E84" w:rsidRDefault="000F2E84">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83B8A"/>
    <w:multiLevelType w:val="multilevel"/>
    <w:tmpl w:val="D2384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1A3698"/>
    <w:multiLevelType w:val="multilevel"/>
    <w:tmpl w:val="673E1A64"/>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7F3B86"/>
    <w:multiLevelType w:val="multilevel"/>
    <w:tmpl w:val="A9F46D5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72A"/>
    <w:rsid w:val="000168AD"/>
    <w:rsid w:val="0003069D"/>
    <w:rsid w:val="00030844"/>
    <w:rsid w:val="00072C9C"/>
    <w:rsid w:val="000808C5"/>
    <w:rsid w:val="00094563"/>
    <w:rsid w:val="00096BA3"/>
    <w:rsid w:val="000A0E12"/>
    <w:rsid w:val="000B746A"/>
    <w:rsid w:val="000F26B6"/>
    <w:rsid w:val="000F2E84"/>
    <w:rsid w:val="000F4001"/>
    <w:rsid w:val="000F669F"/>
    <w:rsid w:val="0010372A"/>
    <w:rsid w:val="00133A4B"/>
    <w:rsid w:val="00150A3C"/>
    <w:rsid w:val="0017316B"/>
    <w:rsid w:val="00180028"/>
    <w:rsid w:val="001944E1"/>
    <w:rsid w:val="001B238B"/>
    <w:rsid w:val="0023300F"/>
    <w:rsid w:val="00256B4B"/>
    <w:rsid w:val="00270375"/>
    <w:rsid w:val="00274FB3"/>
    <w:rsid w:val="00275EBD"/>
    <w:rsid w:val="002F6D21"/>
    <w:rsid w:val="00317C2C"/>
    <w:rsid w:val="0038542D"/>
    <w:rsid w:val="003B0CD5"/>
    <w:rsid w:val="003C5012"/>
    <w:rsid w:val="003D7613"/>
    <w:rsid w:val="00426CE2"/>
    <w:rsid w:val="004309C1"/>
    <w:rsid w:val="00446468"/>
    <w:rsid w:val="00454F4E"/>
    <w:rsid w:val="004551B9"/>
    <w:rsid w:val="00480AD9"/>
    <w:rsid w:val="004B1572"/>
    <w:rsid w:val="004C042D"/>
    <w:rsid w:val="00512A8D"/>
    <w:rsid w:val="00516AC9"/>
    <w:rsid w:val="00523C0D"/>
    <w:rsid w:val="005B2EC9"/>
    <w:rsid w:val="005D222D"/>
    <w:rsid w:val="00602EEC"/>
    <w:rsid w:val="0063176F"/>
    <w:rsid w:val="00637C8C"/>
    <w:rsid w:val="00653207"/>
    <w:rsid w:val="00657953"/>
    <w:rsid w:val="006828E9"/>
    <w:rsid w:val="006D49F9"/>
    <w:rsid w:val="007013D7"/>
    <w:rsid w:val="00703D8F"/>
    <w:rsid w:val="00704075"/>
    <w:rsid w:val="00734696"/>
    <w:rsid w:val="00744F08"/>
    <w:rsid w:val="007564D3"/>
    <w:rsid w:val="00773E30"/>
    <w:rsid w:val="007C1604"/>
    <w:rsid w:val="00860561"/>
    <w:rsid w:val="00870FFF"/>
    <w:rsid w:val="00871964"/>
    <w:rsid w:val="008906B0"/>
    <w:rsid w:val="008931F0"/>
    <w:rsid w:val="00893A81"/>
    <w:rsid w:val="008A0142"/>
    <w:rsid w:val="008D4C69"/>
    <w:rsid w:val="008E5E1C"/>
    <w:rsid w:val="008F4586"/>
    <w:rsid w:val="008F54C0"/>
    <w:rsid w:val="009079EC"/>
    <w:rsid w:val="009D4633"/>
    <w:rsid w:val="00A05D8B"/>
    <w:rsid w:val="00A46438"/>
    <w:rsid w:val="00A74C5F"/>
    <w:rsid w:val="00AB50BD"/>
    <w:rsid w:val="00AC02BC"/>
    <w:rsid w:val="00AF6F59"/>
    <w:rsid w:val="00B002EE"/>
    <w:rsid w:val="00B25CA4"/>
    <w:rsid w:val="00B62602"/>
    <w:rsid w:val="00B63721"/>
    <w:rsid w:val="00B67D78"/>
    <w:rsid w:val="00BC5F6E"/>
    <w:rsid w:val="00BC6DB3"/>
    <w:rsid w:val="00BF0DE1"/>
    <w:rsid w:val="00C81370"/>
    <w:rsid w:val="00C860B9"/>
    <w:rsid w:val="00C9097C"/>
    <w:rsid w:val="00C96D53"/>
    <w:rsid w:val="00CC7F6E"/>
    <w:rsid w:val="00CE3C10"/>
    <w:rsid w:val="00CE5A3D"/>
    <w:rsid w:val="00D13DB8"/>
    <w:rsid w:val="00D21D56"/>
    <w:rsid w:val="00D2243D"/>
    <w:rsid w:val="00D4338E"/>
    <w:rsid w:val="00D56DA5"/>
    <w:rsid w:val="00D62521"/>
    <w:rsid w:val="00DA7C8E"/>
    <w:rsid w:val="00DC3B12"/>
    <w:rsid w:val="00E11513"/>
    <w:rsid w:val="00E32029"/>
    <w:rsid w:val="00E5649A"/>
    <w:rsid w:val="00EE73E2"/>
    <w:rsid w:val="00EE78F2"/>
    <w:rsid w:val="00F00347"/>
    <w:rsid w:val="00F15FD2"/>
    <w:rsid w:val="00F27D37"/>
    <w:rsid w:val="00F52DB7"/>
    <w:rsid w:val="00F73E45"/>
    <w:rsid w:val="00F82E98"/>
    <w:rsid w:val="00F87AA0"/>
    <w:rsid w:val="00FA1DF6"/>
    <w:rsid w:val="00FA44B8"/>
    <w:rsid w:val="00FB1221"/>
    <w:rsid w:val="00FB1A0C"/>
    <w:rsid w:val="00FB3A05"/>
    <w:rsid w:val="00FB44F0"/>
    <w:rsid w:val="00FD3539"/>
    <w:rsid w:val="00FD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DB70"/>
  <w15:docId w15:val="{7B4E3F62-42CD-4805-9FBD-9D82DE15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828E9"/>
    <w:rPr>
      <w:color w:val="0000FF" w:themeColor="hyperlink"/>
      <w:u w:val="single"/>
    </w:rPr>
  </w:style>
  <w:style w:type="character" w:styleId="UnresolvedMention">
    <w:name w:val="Unresolved Mention"/>
    <w:basedOn w:val="DefaultParagraphFont"/>
    <w:uiPriority w:val="99"/>
    <w:semiHidden/>
    <w:unhideWhenUsed/>
    <w:rsid w:val="00682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latform.virdocs.com/r/s/0/doc/1316035/sp/178880722/mi/570553030" TargetMode="External"/><Relationship Id="rId26" Type="http://schemas.openxmlformats.org/officeDocument/2006/relationships/image" Target="media/image10.png"/><Relationship Id="rId21" Type="http://schemas.openxmlformats.org/officeDocument/2006/relationships/hyperlink" Target="https://education.ohio.gov/Topics/Testing/Testing-Forms-Rules-and-Committees/Parent-Resource-Toolkit" TargetMode="External"/><Relationship Id="rId34" Type="http://schemas.openxmlformats.org/officeDocument/2006/relationships/image" Target="media/image18.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core.ac.uk/download/pdf/301365696.pdf"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eric.ed.gov/?id=ED436615" TargetMode="External"/><Relationship Id="rId20" Type="http://schemas.openxmlformats.org/officeDocument/2006/relationships/hyperlink" Target="https://files.eric.ed.gov/fulltext/ED375968.pd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tableau.com/about/blog/examining-data-viz-rules-dont-use-red-green-together"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as.com/en_us/software/evaas.html"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readycentral.com/articles/i-ready-diagnostic-approved-by-the-ohio-department-of-education-doe-for-the-2022-2023-school-year/"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ohiohighered.org/sites/default/files/uploads/attainment/Attainment-Report_2021_FINAL.pdf"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31</Pages>
  <Words>5405</Words>
  <Characters>30811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Campos</dc:creator>
  <cp:lastModifiedBy>Grace Campos</cp:lastModifiedBy>
  <cp:revision>77</cp:revision>
  <dcterms:created xsi:type="dcterms:W3CDTF">2022-11-26T18:28:00Z</dcterms:created>
  <dcterms:modified xsi:type="dcterms:W3CDTF">2022-11-27T18:29:00Z</dcterms:modified>
</cp:coreProperties>
</file>