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5A70"/>
                <w:sz w:val="16"/>
                <w:szCs w:val="16"/>
                <w:rFonts w:ascii="Calibri" w:cs="Calibri" w:eastAsia="Calibri" w:hAnsi="Calibri"/>
              </w:rPr>
              <w:t xml:space="preserve">ABNT NBR ISO/CIE 8995-1:2013 — INTERIORES · NBR 5101 · EN 12464-2 — EXTERIORES</w:t>
            </w:r>
          </w:p>
          <w:p>
            <w:pPr>
              <w:spacing w:after="60" w:before="0"/>
            </w:pPr>
            <w:r>
              <w:rPr>
                <w:b/>
                <w:bCs/>
                <w:sz w:val="40"/>
                <w:szCs w:val="40"/>
                <w:rFonts w:ascii="Calibri" w:cs="Calibri" w:eastAsia="Calibri" w:hAnsi="Calibri"/>
              </w:rPr>
              <w:t xml:space="preserve">RELATÓRIO DE CÁLCULO LUMINOTÉCNICO</w:t>
            </w:r>
          </w:p>
          <w:p>
            <w:pPr>
              <w:spacing w:after="0" w:before="0"/>
            </w:pPr>
            <w:r>
              <w:rPr>
                <w:color w:val="56606A"/>
                <w:sz w:val="19"/>
                <w:szCs w:val="19"/>
                <w:rFonts w:ascii="Calibri" w:cs="Calibri" w:eastAsia="Calibri" w:hAnsi="Calibri"/>
              </w:rPr>
              <w:t xml:space="preserve">Iluminação de 4 ambientes internos e 1 área externa — método dos lúmens com verificação ponto a ponto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2"/>
        <w:gridCol w:w="7024"/>
      </w:tblGrid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OBRA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Residência unifamiliar — exemplo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PROPRIETÁRIO / CLIENTE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Proprietário (exemplo)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ENDEREÇO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Rua Exemplo, 100 — Centro — Cidade – UF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RESPONSÁVEL TÉCNICO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Nome do responsável técnico — CREA/CFT nº 000000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ART / TRT / RRT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a emitir</w:t>
            </w:r>
          </w:p>
        </w:tc>
      </w:tr>
      <w:tr>
        <w:tc>
          <w:tcPr>
            <w:tcW w:type="dxa" w:w="2732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5"/>
                <w:szCs w:val="15"/>
                <w:rFonts w:ascii="Calibri" w:cs="Calibri" w:eastAsia="Calibri" w:hAnsi="Calibri"/>
              </w:rPr>
              <w:t xml:space="preserve">DATA / REVISÃO</w:t>
            </w:r>
          </w:p>
        </w:tc>
        <w:tc>
          <w:tcPr>
            <w:tcW w:type="dxa" w:w="7024"/>
            <w:tcBorders>
              <w:top w:val="single" w:color="1B1F23" w:sz="4"/>
              <w:left w:val="single" w:color="1B1F23" w:sz="4"/>
              <w:bottom w:val="single" w:color="1B1F23" w:sz="4"/>
              <w:right w:val="single" w:color="1B1F23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9"/>
                <w:szCs w:val="19"/>
                <w:rFonts w:ascii="Calibri" w:cs="Calibri" w:eastAsia="Calibri" w:hAnsi="Calibri"/>
              </w:rPr>
              <w:t xml:space="preserve">28/10/2026 — R00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1. OBJETIVO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Este relatório apresenta o cálculo da iluminação geral dos 4 ambientes internos da obra acima identificada: quantidade e disposição das luminárias, iluminância média mantida, uniformidade, potência instalada e verificação dos requisitos da ABNT NBR ISO/CIE 8995-1:2013 (iluminância mantida, uniformidade, reprodução de cor e limite de ofuscamento). As plantas indicam a locação das luminárias com cotas e a distribuição de iluminância no plano de trabalho.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Apresenta também a iluminação de 1 área externa (pátios, estacionamentos, vias internas ou quadras) com projetores ou luminárias em postes: número de projetores pelo método dos lúmens e verificação da iluminância média e da uniformidade pelo método ponto a ponto, segundo os níveis da ABNT NBR 5101 e da EN 12464-2.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2. NORMAS E DOCUMENTOS DE REFERÊNCIA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ISO/CIE 8995-1:2013 — Iluminação de ambientes de trabalho — Parte 1: Interior.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CIE 97:2005 — Maintenance of indoor electric lighting systems (fator de manutenção).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CIE 117:1995 — Discomfort glare in interior lighting (índice UGR).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5410:2004 Versão Corrigida:2008 — Instalações elétricas de baixa tensão (9.5.2 — previsão de cargas de iluminação).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ABNT NBR 5101 — Iluminação pública e viária (classes de iluminação; valores por iluminância da edição 2018).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 12464-2:2024 / CIE S 015 — Iluminação de locais de trabalho externos.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EN 12193 — Iluminação de instalações esportivas (quando aplicável).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MAMEDE FILHO, J. Instalações Elétricas Industriais. Rio de Janeiro: LTC — iluminação de exteriores (métodos dos lúmens e ponto a ponto).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Catálogos e fichas técnicas dos fabricantes das luminárias e lâmpadas indicadas.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3. METODOLOGIA E PREMISSAS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altura do plano de trabalho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         (índice do local)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         Eméd = N × Φ × UF × FM / A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LLMF × LSF × LMF × RSMF (CIE 97)          Uo = Emín / Eméd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E(P) = Σ I(θ) × cos θ / d² + E refletida;   I(θ) = I0 × cosⁿθ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Iluminância mantida (Em) no plano de trabalho conforme a seção 5 da NBR ISO/CIE 8995-1 para o tipo de ambiente, tarefa ou atividade, ou o valor indicado pelo projetista.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Uniformidade Emín/Eméd ≥ 0,7 na área da tarefa; verificação ponto a ponto em malha no plano de trabalho, excluída uma faixa de até 0,5 m junto às paredes.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Fator de utilização (UF) calculado pelo método da radiosidade em três superfícies (plano de trabalho, paredes e teto), com distribuição de intensidade cosⁿθ obtida da abertura do facho, ou informado pela tabela do fabricante. Trata-se de estimativa: para a emissão final, confirmar com a fotometria (arquivo IES ou LDT) do produto especificado.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Fator de manutenção não inferior a 0,70 (NBR ISO/CIE 8995-1, anexo D), adotado ou calculado pela CIE 97.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Luminárias em malha regular, com espaçamento S entre centros e afastamento S/2 das paredes.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O índice de ofuscamento unificado (UGR) depende da fotometria e não é calculado neste relatório; deve ser confirmado pela tabela UGR do fabricante.</w:t>
      </w:r>
    </w:p>
    <w:p>
      <w:pPr>
        <w:keepNext/>
        <w:spacing w:after="60" w:before="14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3.1 Iluminação de exteriores</w:t>
      </w: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Método dos lúmens (fluxo):  N = Eméd × S / (Φ × Fu × Fd)          Eméd = N × Φ × Fu × Fd / S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Método ponto a ponto:  E(P) = Σ I(θ) × cos γ / d² = Σ I(θ) × h / d³;   I(θ) = I0 × cosᵐθ;   I0 = Φ × (m + 1) / 2π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 = ln 0,5 / ln cos(β/2)   (β = abertura do facho);   θ = ângulo entre o raio e o eixo de mira do projetor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U0 = Emín / Eméd;   Fu efetivo = Eméd,pp × S / (N × Φ × Fd);   malha de cálculo com passo p = 0,2 × 5^log₁₀(d)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Níveis de iluminância média e uniformidade (Emín/Eméd) conforme a ABNT NBR 5101 para vias públicas e a EN 12464-2 para locais de trabalho e estacionamentos externos, ou o valor indicado pelo projetista.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O número de projetores é obtido pelo método dos lúmens com o fator de utilização Fu (parcela do fluxo que atinge a área) e o fator de depreciação Fd; a distribuição é verificada pelo método ponto a ponto, considerando a inclinação e a direção de mira de cada projetor.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  <w:rFonts w:ascii="Calibri" w:cs="Calibri" w:eastAsia="Calibri" w:hAnsi="Calibri"/>
        </w:rPr>
        <w:t xml:space="preserve">Distribuição de intensidade simétrica em torno do eixo de mira, obtida da abertura do facho. Para luminárias viárias assimétricas e projetos executivos, confirmar com a fotometria do fabricante (arquivo IES ou LDT) em software de cálculo.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4. LUMINÁRIAS ADOTADAS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5"/>
        <w:gridCol w:w="1171"/>
        <w:gridCol w:w="3902"/>
        <w:gridCol w:w="683"/>
        <w:gridCol w:w="878"/>
        <w:gridCol w:w="683"/>
        <w:gridCol w:w="488"/>
        <w:gridCol w:w="585"/>
        <w:gridCol w:w="780"/>
      </w:tblGrid>
      <w:tr>
        <w:trPr>
          <w:tblHeader/>
        </w:trPr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Ref.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Fabricante</w:t>
            </w:r>
          </w:p>
        </w:tc>
        <w:tc>
          <w:tcPr>
            <w:tcW w:type="dxa" w:w="3902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Produto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Fluxo (lm)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lm/W</w:t>
            </w:r>
          </w:p>
        </w:tc>
        <w:tc>
          <w:tcPr>
            <w:tcW w:type="dxa" w:w="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Ra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Qtd.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total (W)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L1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Ledvance</w:t>
            </w:r>
          </w:p>
        </w:tc>
        <w:tc>
          <w:tcPr>
            <w:tcW w:type="dxa" w:w="390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Plafon LED slim quadrado 18 W 4000 K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18,0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1.350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75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L2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Philips</w:t>
            </w:r>
          </w:p>
        </w:tc>
        <w:tc>
          <w:tcPr>
            <w:tcW w:type="dxa" w:w="390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Plafon LED de sobrepor redondo 18 W 4000 K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18,0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1.300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L3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Ledvance</w:t>
            </w:r>
          </w:p>
        </w:tc>
        <w:tc>
          <w:tcPr>
            <w:tcW w:type="dxa" w:w="390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Downlight LED de embutir 12 W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12,0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840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70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L4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Lumicenter</w:t>
            </w:r>
          </w:p>
        </w:tc>
        <w:tc>
          <w:tcPr>
            <w:tcW w:type="dxa" w:w="390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EF40-E — downlight 17,5 W (EF40-E12000840)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17,5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2.100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120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117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3902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87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345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L1 — Ledvance Plafon LED slim quadrado 18 W 4000 K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18,0 W · 1.350 lm · Ra 80 · fonte: anúncio de revendedor (Laydner)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Quantidade: 4 unid. — Sala de estar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L2 — Philips Plafon LED de sobrepor redondo 18 W 4000 K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18,0 W · 1.300 lm · Ra 80 · fonte: anúncio de revendedor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Quantidade: 4 unid. — Quarto 1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L3 — Ledvance Downlight LED de embutir 12 W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12,0 W · 840 lm · Ra 80 · fonte: Catálogo Ledvance 25|26 (840 a 900 lm)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Quantidade: 8 unid. — Cozinha</w:t>
            </w:r>
          </w:p>
        </w:tc>
      </w:tr>
      <w:tr>
        <w:trPr>
          <w:cantSplit/>
        </w:trPr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drawing>
                <wp:inline distT="0" distB="0" distL="0" distR="0">
                  <wp:extent cx="1752600" cy="1095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/>
                <w:bCs/>
                <w:sz w:val="17"/>
                <w:szCs w:val="17"/>
                <w:rFonts w:ascii="Calibri" w:cs="Calibri" w:eastAsia="Calibri" w:hAnsi="Calibri"/>
              </w:rPr>
              <w:t xml:space="preserve">L4 — Lumicenter EF40-E — downlight 17,5 W (EF40-E12000840)</w:t>
            </w:r>
          </w:p>
          <w:p>
            <w:pPr>
              <w:spacing w:after="20" w:before="0"/>
            </w:pPr>
            <w:r>
              <w:rPr>
                <w:color w:val="56606A"/>
                <w:sz w:val="15"/>
                <w:szCs w:val="15"/>
                <w:rFonts w:ascii="Calibri" w:cs="Calibri" w:eastAsia="Calibri" w:hAnsi="Calibri"/>
              </w:rPr>
              <w:t xml:space="preserve">17,5 W · 2.100 lm · Ra 80 · fonte: página oficial lumicenter.com</w:t>
            </w:r>
          </w:p>
          <w:p>
            <w:pPr>
              <w:spacing w:after="0" w:before="0"/>
            </w:pPr>
            <w:r>
              <w:rPr>
                <w:color w:val="0B5A70"/>
                <w:sz w:val="15"/>
                <w:szCs w:val="15"/>
                <w:rFonts w:ascii="Calibri" w:cs="Calibri" w:eastAsia="Calibri" w:hAnsi="Calibri"/>
              </w:rPr>
              <w:t xml:space="preserve">Quantidade: 6 unid. — Escritório (home office)</w:t>
            </w: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 w:before="0"/>
            </w:pPr>
          </w:p>
        </w:tc>
        <w:tc>
          <w:tcPr>
            <w:tcW w:type="pct" w:w="33%"/>
            <w:tcBorders>
              <w:top w:val="single" w:color="B9C3CB" w:sz="4"/>
              <w:left w:val="single" w:color="B9C3CB" w:sz="4"/>
              <w:bottom w:val="single" w:color="B9C3CB" w:sz="4"/>
              <w:right w:val="single" w:color="B9C3CB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 w:before="0"/>
            </w:pPr>
          </w:p>
        </w:tc>
      </w:tr>
    </w:tbl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Desenhos esquemáticos, sem escala, para identificação do tipo de luminária. Dimensões, fotometria e acessórios devem ser confirmados na ficha técnica do produto especificado.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5. RESUMO DOS RESULTADOS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6"/>
        <w:gridCol w:w="780"/>
        <w:gridCol w:w="683"/>
        <w:gridCol w:w="585"/>
        <w:gridCol w:w="488"/>
        <w:gridCol w:w="780"/>
        <w:gridCol w:w="780"/>
        <w:gridCol w:w="585"/>
        <w:gridCol w:w="683"/>
        <w:gridCol w:w="683"/>
        <w:gridCol w:w="1561"/>
      </w:tblGrid>
      <w:tr>
        <w:trPr>
          <w:tblHeader/>
        </w:trPr>
        <w:tc>
          <w:tcPr>
            <w:tcW w:type="dxa" w:w="214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Ambiente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 (m²)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Em (lx)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Ref.</w:t>
            </w:r>
          </w:p>
        </w:tc>
        <w:tc>
          <w:tcPr>
            <w:tcW w:type="dxa" w:w="48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Arranjo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Eméd (lx)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Uo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W/m²</w:t>
            </w:r>
          </w:p>
        </w:tc>
        <w:tc>
          <w:tcPr>
            <w:tcW w:type="dxa" w:w="156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Sala de estar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16,20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L1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 × 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170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4,4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Quarto 1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10,20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150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L2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 × 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217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7,1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Cozinha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8,96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L3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4 × 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336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96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10,7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Escritório (home office)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8,32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500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L4</w:t>
            </w:r>
          </w:p>
        </w:tc>
        <w:tc>
          <w:tcPr>
            <w:tcW w:type="dxa" w:w="48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3 × 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690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0,87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105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12,6</w:t>
            </w:r>
          </w:p>
        </w:tc>
        <w:tc>
          <w:tcPr>
            <w:tcW w:type="dxa" w:w="156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  <w:rFonts w:ascii="Calibri" w:cs="Calibri" w:eastAsia="Calibri" w:hAnsi="Calibri"/>
              </w:rPr>
              <w:t xml:space="preserve">Atende, com observações</w:t>
            </w:r>
          </w:p>
        </w:tc>
      </w:tr>
      <w:tr>
        <w:trPr>
          <w:cantSplit/>
        </w:trPr>
        <w:tc>
          <w:tcPr>
            <w:tcW w:type="dxa" w:w="2146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43,68</w:t>
            </w: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488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22</w:t>
            </w: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  <w:tc>
          <w:tcPr>
            <w:tcW w:type="dxa" w:w="780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585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345</w:t>
            </w:r>
          </w:p>
        </w:tc>
        <w:tc>
          <w:tcPr>
            <w:tcW w:type="dxa" w:w="683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</w:p>
        </w:tc>
        <w:tc>
          <w:tcPr>
            <w:tcW w:type="dxa" w:w="1561"/>
            <w:shd w:fill="F2F5F7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6. CÁLCULO POR AMBIENTE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6.1 Sala de estar — Sala de estar — geral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4,50 × 3,60 m — 16,20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150 lx · UGRL — · Ra ≥ 80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L1 — Ledvance Plafon LED slim quadrado 18 W 4000 K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W · 1.350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4,50 × 3,60 / [1,95 × (4,50 + 3,60)] = 1,03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0,639   (calculado por radiosidade de três superfícies; facho 110° → n = 1,25)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150 × 16,20 / (1.350 × 0,639 × 0,80) = 3,52   →   adotado 4 (2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4 × 1.350 × 0,639 × 0,80 / 16,20 = 170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(8 × 6 pontos): Emín = 154 lx; Eméd = 191 lx; Emáx = 215 lx; Uo = 0,80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4 × 18,0 = 72 W;   4,4 W/m²;   2,61 W/m² por 100 lx</w:t>
      </w:r>
    </w:p>
    <w:p>
      <w:pPr>
        <w:keepNext/>
        <w:spacing w:before="60" w:after="20"/>
      </w:pPr>
      <w:r>
        <w:drawing>
          <wp:inline distT="0" distB="0" distL="0" distR="0">
            <wp:extent cx="3810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4 luminárias L1 em malha de 2 × 2, espaçamento 2,25 × 1,80 m e afastamento das paredes de 1,13 × 0,90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154 lx, Eméd 191 lx, Emáx 215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170 lx ≥ Em = 150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220 VA de iluminação para 16,20 m²; a carga obtida pela luminotécnica é 78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6.2 Quarto 1 — Quarto — geral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3,40 × 3,00 m — 10,20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150 lx · UGRL — · Ra ≥ 80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L2 — Philips Plafon LED de sobrepor redondo 18 W 4000 K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18,0 W · 1.300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3,40 × 3,00 / [1,95 × (3,40 + 3,00)] = 0,82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0,532   (calculado por radiosidade de três superfícies; facho 120° → n = 1,00)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150 × 10,20 / (1.300 × 0,532 × 0,80) = 2,76   →   adotado 4 (2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4 × 1.300 × 0,532 × 0,80 / 10,20 = 217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(6 × 5 pontos): Emín = 209 lx; Eméd = 240 lx; Emáx = 268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4 × 18,0 = 72 W;   7,1 W/m²;   3,25 W/m² por 100 lx</w:t>
      </w:r>
    </w:p>
    <w:p>
      <w:pPr>
        <w:keepNext/>
        <w:spacing w:before="60" w:after="20"/>
      </w:pPr>
      <w:r>
        <w:drawing>
          <wp:inline distT="0" distB="0" distL="0" distR="0">
            <wp:extent cx="294322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4 luminárias L2 em malha de 2 × 2, espaçamento 1,70 × 1,50 m e afastamento das paredes de 0,85 × 0,75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209 lx, Eméd 240 lx, Emáx 268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217 lx ≥ Em = 150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160 VA de iluminação para 10,20 m²; a carga obtida pela luminotécnica é 78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6.3 Cozinha — Cozinha — bancada, pia e fogão (local)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3,20 × 2,80 m — 8,96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0,90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300 lx · UGRL — · Ra ≥ 80 · Uo ≥ 0,70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L3 — Ledvance Downlight LED de embutir 12 W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12,0 W · 840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2,70 − 0,00 − 0,90 = 1,80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3,20 × 2,80 / [1,80 × (3,20 + 2,80)] = 0,83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0,560   (calculado por radiosidade de três superfícies; facho 110° → n = 1,25)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300 × 8,96 / (840 × 0,560 × 0,80) = 7,14   →   adotado 8 (4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8 × 840 × 0,560 × 0,80 / 8,96 = 336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(5 × 5 pontos): Emín = 321 lx; Eméd = 368 lx; Emáx = 417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8 × 12,0 = 96 W;   10,7 W/m²;   3,19 W/m² por 100 lx</w:t>
      </w:r>
    </w:p>
    <w:p>
      <w:pPr>
        <w:keepNext/>
        <w:spacing w:before="60" w:after="20"/>
      </w:pPr>
      <w:r>
        <w:drawing>
          <wp:inline distT="0" distB="0" distL="0" distR="0">
            <wp:extent cx="2943225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8 luminárias L3 em malha de 4 × 2, espaçamento 0,80 × 1,40 m e afastamento das paredes de 0,40 × 0,70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0,90 m (lx), cálculo ponto a ponto: Emín 321 lx, Eméd 368 lx, Emáx 417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336 lx ≥ Em = 300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Uo = 0,87 ≥ 0,70 (área da tarefa)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Para comparação, a NBR 5410 (9.5.2.1.2), como alternativa para locais de habitação, prevê ao menos 100 VA de iluminação para 8,96 m²; a carga obtida pela luminotécnica é 104 VA.</w:t>
      </w: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6.4 Escritório (home office) — Escrever, teclar, ler e processar dados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Dimensões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3,20 × 2,60 m — 8,32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Pé-direito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2,70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Plano de trabalho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0,75 m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Suspensão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0,00 m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Refletâncias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teto 70 % · paredes 50 % · piso 20 %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Em 500 lx · UGRL 19 · Ra ≥ 80 · Uo ≥ 0,70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Luminária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L4 — Lumicenter EF40-E — downlight 17,5 W (EF40-E12000840)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Dados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17,5 W · 2.100 lm · Ra 80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hm = pé-direito − suspensão − plano de trabalho = 2,70 − 0,00 − 0,75 = 1,95 m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K = L × W / [hm × (L + W)] = 3,20 × 2,60 / [1,95 × (3,20 + 2,60)] = 0,74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UF = 0,570   (calculado por radiosidade de três superfícies; facho 90° → n = 2,00)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FM = 0,80   (valor adotado)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N = Em × A / (Φ × UF × FM) = 500 × 8,32 / (2.100 × 0,570 × 0,80) = 4,35   →   adotado 6 (3 × 2)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N × Φ × UF × FM / A = 6 × 2.100 × 0,570 × 0,80 / 8,32 = 690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 (5 × 4 pontos): Emín = 665 lx; Eméd = 761 lx; Emáx = 866 lx; Uo = 0,87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 = 6 × 17,5 = 105 W;   12,6 W/m²;   1,83 W/m² por 100 lx</w:t>
      </w:r>
    </w:p>
    <w:p>
      <w:pPr>
        <w:keepNext/>
        <w:spacing w:before="60" w:after="20"/>
      </w:pPr>
      <w:r>
        <w:drawing>
          <wp:inline distT="0" distB="0" distL="0" distR="0">
            <wp:extent cx="3810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locação: 6 luminárias L4 em malha de 3 × 2, espaçamento 1,07 × 1,30 m e afastamento das paredes de 0,53 × 0,65 m (cotas em metros). Altura de montagem 2,70 m.</w:t>
      </w:r>
    </w:p>
    <w:p>
      <w:pPr>
        <w:keepNext/>
        <w:spacing w:before="60" w:after="20"/>
      </w:pPr>
      <w:r>
        <w:drawing>
          <wp:inline distT="0" distB="0" distL="0" distR="0">
            <wp:extent cx="341947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Iluminância mantida no plano de trabalho a 0,75 m (lx), cálculo ponto a ponto: Emín 665 lx, Eméd 761 lx, Emáx 866 lx. Cores: azul ≤ 0,5 × Em; verde próximo de Em; vermelho ≥ 1,5 × Em.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Eméd = 690 lx ≥ Em = 500 lx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Uo = 0,87 ≥ 0,70 (área da tarefa)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Ra 80 ≥ 80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FM = 0,80 ≥ 0,70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UGRL = 19: o índice de ofuscamento da instalação deve ser confirmado pela tabela UGR do fabricante (método tabular CIE 117).</w:t>
      </w:r>
    </w:p>
    <w:p>
      <w:pPr>
        <w:spacing w:after="100" w:before="0"/>
        <w:ind w:left="200"/>
      </w:pPr>
      <w:r>
        <w:rPr>
          <w:color w:val="56606A"/>
          <w:sz w:val="18"/>
          <w:szCs w:val="18"/>
          <w:rFonts w:ascii="Calibri" w:cs="Calibri" w:eastAsia="Calibri" w:hAnsi="Calibri"/>
        </w:rPr>
        <w:t xml:space="preserve">Confirmar na ficha fotométrica do fabricante que o UGR da instalação não ultrapassa UGRL = 19.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7. ILUMINAÇÃO DE EXTERIORES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6"/>
        <w:gridCol w:w="683"/>
        <w:gridCol w:w="1171"/>
        <w:gridCol w:w="1854"/>
        <w:gridCol w:w="390"/>
        <w:gridCol w:w="585"/>
        <w:gridCol w:w="780"/>
        <w:gridCol w:w="585"/>
        <w:gridCol w:w="683"/>
        <w:gridCol w:w="1268"/>
      </w:tblGrid>
      <w:tr>
        <w:trPr>
          <w:tblHeader/>
        </w:trPr>
        <w:tc>
          <w:tcPr>
            <w:tcW w:type="dxa" w:w="175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 (m²)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Exigido</w:t>
            </w:r>
          </w:p>
        </w:tc>
        <w:tc>
          <w:tcPr>
            <w:tcW w:type="dxa" w:w="185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Projetor</w:t>
            </w:r>
          </w:p>
        </w:tc>
        <w:tc>
          <w:tcPr>
            <w:tcW w:type="dxa" w:w="39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N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h (m)</w:t>
            </w:r>
          </w:p>
        </w:tc>
        <w:tc>
          <w:tcPr>
            <w:tcW w:type="dxa" w:w="780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Eméd (lx)</w:t>
            </w:r>
          </w:p>
        </w:tc>
        <w:tc>
          <w:tcPr>
            <w:tcW w:type="dxa" w:w="585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U0</w:t>
            </w:r>
          </w:p>
        </w:tc>
        <w:tc>
          <w:tcPr>
            <w:tcW w:type="dxa" w:w="683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126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Estacionamento externo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540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10 lx / 0,25</w:t>
            </w:r>
          </w:p>
        </w:tc>
        <w:tc>
          <w:tcPr>
            <w:tcW w:type="dxa" w:w="185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Refletor LED 50 W</w:t>
            </w:r>
          </w:p>
        </w:tc>
        <w:tc>
          <w:tcPr>
            <w:tcW w:type="dxa" w:w="39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7,0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585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0,51</w:t>
            </w:r>
          </w:p>
        </w:tc>
        <w:tc>
          <w:tcPr>
            <w:tcW w:type="dxa" w:w="683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126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Atende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left w:val="single" w:color="0B5A70" w:sz="18"/>
        </w:pBdr>
        <w:shd w:fill="E7EDF1" w:color="auto" w:val="clear"/>
        <w:spacing w:before="280" w:after="120"/>
      </w:pPr>
      <w:r>
        <w:rPr>
          <w:b/>
          <w:bCs/>
          <w:color w:val="1B1F23"/>
          <w:sz w:val="22"/>
          <w:szCs w:val="22"/>
          <w:rFonts w:ascii="Calibri" w:cs="Calibri" w:eastAsia="Calibri" w:hAnsi="Calibri"/>
        </w:rPr>
        <w:t xml:space="preserve"> 7.1 Estacionamento externo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68"/>
        <w:gridCol w:w="3610"/>
        <w:gridCol w:w="1463"/>
        <w:gridCol w:w="3415"/>
      </w:tblGrid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Área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30,0 × 18,0 m = 540 m²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Requisito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Estacionamento de tráfego médio (escritórios, shoppings) — 10 lx, U0 ≥ 0,25 (EN 12464-2)</w:t>
            </w:r>
          </w:p>
        </w:tc>
      </w:tr>
      <w:tr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Projetor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Refletor LED 50 W — 50 W, 5.000 lm, facho 120°, IP65</w:t>
            </w:r>
          </w:p>
        </w:tc>
        <w:tc>
          <w:tcPr>
            <w:tcW w:type="dxa" w:w="1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56606A"/>
                <w:sz w:val="17"/>
                <w:szCs w:val="17"/>
                <w:rFonts w:ascii="Calibri" w:cs="Calibri" w:eastAsia="Calibri" w:hAnsi="Calibri"/>
              </w:rPr>
              <w:t xml:space="preserve">Arranjo</w:t>
            </w:r>
          </w:p>
        </w:tc>
        <w:tc>
          <w:tcPr>
            <w:tcW w:type="dxa" w:w="3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7"/>
                <w:szCs w:val="17"/>
                <w:rFonts w:ascii="Calibri" w:cs="Calibri" w:eastAsia="Calibri" w:hAnsi="Calibri"/>
              </w:rPr>
              <w:t xml:space="preserve">Postes nos dois lados (frente a frente): 4 poste(s) × 1 projetor(es), h = 7,0 m, inclinação 40°</w:t>
            </w:r>
          </w:p>
        </w:tc>
      </w:tr>
    </w:tbl>
    <w:p>
      <w:pPr>
        <w:spacing w:after="60" w:before="0"/>
      </w:pPr>
    </w:p>
    <w:p>
      <w:pPr>
        <w:keepNext/>
        <w:shd w:fill="F2F5F7" w:color="auto" w:val="clear"/>
        <w:spacing w:before="6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Método dos lúmens:  N = 10 × 540 / (5.000 × 0,45 × 0,80) = 3,00  →  adotados 4 projetores;  Eméd = 13,3 lx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Ponto a ponto:  m = 1,00;  I0 = 5.000 × (1,00 + 1) / 2π = 1.592 cd;  malha 14 × 9 pontos (passo 2,16 m)</w:t>
      </w:r>
    </w:p>
    <w:p>
      <w:pPr>
        <w:keepNext/>
        <w:shd w:fill="F2F5F7" w:color="auto" w:val="clear"/>
        <w:spacing w:before="0" w:after="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Eméd = 13,5 lx;  Emín = 6,8 lx;  Emáx = 23,8 lx;  U0 = Emín/Eméd = 0,51;  Emín/Emáx = 0,29;  Fu efetivo = 0,46</w:t>
      </w:r>
    </w:p>
    <w:p>
      <w:pPr>
        <w:keepNext w:val="false"/>
        <w:shd w:fill="F2F5F7" w:color="auto" w:val="clear"/>
        <w:spacing w:before="0" w:after="120"/>
        <w:ind w:left="120" w:right="120"/>
      </w:pPr>
      <w:r>
        <w:rPr>
          <w:sz w:val="17"/>
          <w:szCs w:val="17"/>
          <w:rFonts w:ascii="Consolas" w:cs="Consolas" w:eastAsia="Consolas" w:hAnsi="Consolas"/>
        </w:rPr>
        <w:t xml:space="preserve">Potência instalada = 4 × 50 W = 200 W  (0,37 W/m²)</w:t>
      </w:r>
    </w:p>
    <w:p>
      <w:pPr>
        <w:keepNext/>
        <w:spacing w:before="60" w:after="20"/>
      </w:pPr>
      <w:r>
        <w:drawing>
          <wp:inline distT="0" distB="0" distL="0" distR="0">
            <wp:extent cx="4371975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color w:val="56606A"/>
          <w:sz w:val="16"/>
          <w:szCs w:val="16"/>
          <w:rFonts w:ascii="Calibri" w:cs="Calibri" w:eastAsia="Calibri" w:hAnsi="Calibri"/>
        </w:rPr>
        <w:t xml:space="preserve">Planta de Estacionamento externo: postes (círculos), direção de mira dos projetores (setas) e iluminância mantida calculada ponto a ponto (lx). Cores: azul ≤ 0,5 × Eméd exigida; verde próximo da exigida; vermelho ≥ 1,5 × a exigida.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Iluminância média 14 lx ≥ 10 lx exigidos</w:t>
      </w:r>
    </w:p>
    <w:p>
      <w:pPr>
        <w:spacing w:after="50"/>
      </w:pPr>
      <w:r>
        <w:rPr>
          <w:color w:val="1F6E43"/>
          <w:sz w:val="19"/>
          <w:szCs w:val="19"/>
          <w:rFonts w:ascii="Calibri" w:cs="Calibri" w:eastAsia="Calibri" w:hAnsi="Calibri"/>
        </w:rPr>
        <w:t xml:space="preserve">✓ Uniformidade Emín/Eméd = 0,51 ≥ 0,25</w:t>
      </w: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8. POTÊNCIA DE ILUMINAÇÃO POR CIRCUITO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6"/>
        <w:gridCol w:w="2927"/>
        <w:gridCol w:w="1171"/>
        <w:gridCol w:w="878"/>
        <w:gridCol w:w="2634"/>
      </w:tblGrid>
      <w:tr>
        <w:trPr>
          <w:tblHeader/>
        </w:trPr>
        <w:tc>
          <w:tcPr>
            <w:tcW w:type="dxa" w:w="2146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Circuito</w:t>
            </w:r>
          </w:p>
        </w:tc>
        <w:tc>
          <w:tcPr>
            <w:tcW w:type="dxa" w:w="2927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Ambientes</w:t>
            </w:r>
          </w:p>
        </w:tc>
        <w:tc>
          <w:tcPr>
            <w:tcW w:type="dxa" w:w="1171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Luminárias</w:t>
            </w:r>
          </w:p>
        </w:tc>
        <w:tc>
          <w:tcPr>
            <w:tcW w:type="dxa" w:w="878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P (W)</w:t>
            </w:r>
          </w:p>
        </w:tc>
        <w:tc>
          <w:tcPr>
            <w:tcW w:type="dxa" w:w="2634"/>
            <w:shd w:fill="E7EDF1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  <w:rFonts w:ascii="Calibri" w:cs="Calibri" w:eastAsia="Calibri" w:hAnsi="Calibri"/>
              </w:rPr>
              <w:t xml:space="preserve">Uso no dimensionamento do circuito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 — Iluminação — sala, circulação e quartos</w:t>
            </w:r>
          </w:p>
        </w:tc>
        <w:tc>
          <w:tcPr>
            <w:tcW w:type="dxa" w:w="29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Sala de estar, Quarto 1, Escritório (home office)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249</w:t>
            </w:r>
          </w:p>
        </w:tc>
        <w:tc>
          <w:tcPr>
            <w:tcW w:type="dxa" w:w="263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circuito com 780 VA informados pelo projetista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 — Iluminação — cozinha, área de serviço e banheiros</w:t>
            </w:r>
          </w:p>
        </w:tc>
        <w:tc>
          <w:tcPr>
            <w:tcW w:type="dxa" w:w="29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Cozinha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96</w:t>
            </w:r>
          </w:p>
        </w:tc>
        <w:tc>
          <w:tcPr>
            <w:tcW w:type="dxa" w:w="263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circuito com 540 VA informados pelo projetista</w:t>
            </w:r>
          </w:p>
        </w:tc>
      </w:tr>
      <w:tr>
        <w:trPr>
          <w:cantSplit/>
        </w:trPr>
        <w:tc>
          <w:tcPr>
            <w:tcW w:type="dxa" w:w="214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13 — Iluminação externa — estacionamento</w:t>
            </w:r>
          </w:p>
        </w:tc>
        <w:tc>
          <w:tcPr>
            <w:tcW w:type="dxa" w:w="2927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Estacionamento externo</w:t>
            </w:r>
          </w:p>
        </w:tc>
        <w:tc>
          <w:tcPr>
            <w:tcW w:type="dxa" w:w="1171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87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200</w:t>
            </w:r>
          </w:p>
        </w:tc>
        <w:tc>
          <w:tcPr>
            <w:tcW w:type="dxa" w:w="2634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sz w:val="15"/>
                <w:szCs w:val="15"/>
                <w:rFonts w:ascii="Calibri" w:cs="Calibri" w:eastAsia="Calibri" w:hAnsi="Calibri"/>
              </w:rPr>
              <w:t xml:space="preserve">potência adotada no circuito (211 VA, FP 0,95)</w:t>
            </w:r>
          </w:p>
        </w:tc>
      </w:tr>
    </w:tbl>
    <w:p>
      <w:pPr>
        <w:spacing w:after="80" w:before="0"/>
      </w:pPr>
    </w:p>
    <w:p>
      <w:pPr>
        <w:pStyle w:val="Heading1"/>
        <w:keepNext/>
        <w:pBdr>
          <w:bottom w:val="single" w:color="B9C3CB" w:sz="4"/>
        </w:pBdr>
        <w:spacing w:before="320" w:after="140"/>
      </w:pPr>
      <w:r>
        <w:rPr>
          <w:b/>
          <w:bCs/>
          <w:color w:val="0B5A70"/>
          <w:sz w:val="26"/>
          <w:szCs w:val="26"/>
          <w:rFonts w:ascii="Calibri" w:cs="Calibri" w:eastAsia="Calibri" w:hAnsi="Calibri"/>
        </w:rPr>
        <w:t xml:space="preserve">9. CONCLUSÃO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Os 5 ambientes e áreas externas calculados atendem aos níveis de iluminância exigidos com as luminárias e o arranjo indicados. Escritório (home office) possuem observações (uniformidade, ofuscamento, fator de manutenção ou mira) a confirmar com a fotometria do produto.</w:t>
      </w:r>
    </w:p>
    <w:p>
      <w:pPr>
        <w:spacing w:after="100" w:before="0"/>
      </w:pPr>
      <w:r>
        <w:rPr>
          <w:sz w:val="20"/>
          <w:szCs w:val="20"/>
          <w:rFonts w:ascii="Calibri" w:cs="Calibri" w:eastAsia="Calibri" w:hAnsi="Calibri"/>
        </w:rPr>
        <w:t xml:space="preserve">Após a instalação, recomenda-se medir a iluminância no plano de trabalho em malha de pontos, com luxímetro calibrado, para confirmar os valores calculados, e manter o plano de manutenção (limpeza e substituição) adotado no fator de manutenção.</w:t>
      </w:r>
    </w:p>
    <w:p>
      <w:pPr>
        <w:spacing w:after="720" w:before="48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Cidade – UF, 28 de outubro de 2026</w:t>
      </w:r>
    </w:p>
    <w:p>
      <w:pPr>
        <w:spacing w:after="40" w:before="0"/>
        <w:jc w:val="center"/>
      </w:pPr>
      <w:r>
        <w:rPr>
          <w:sz w:val="20"/>
          <w:szCs w:val="20"/>
          <w:rFonts w:ascii="Calibri" w:cs="Calibri" w:eastAsia="Calibri" w:hAnsi="Calibri"/>
        </w:rPr>
        <w:t xml:space="preserve">______________________________________</w:t>
      </w:r>
    </w:p>
    <w:p>
      <w:pPr>
        <w:spacing w:after="20" w:before="0"/>
        <w:jc w:val="center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Nome do responsável técnico</w:t>
      </w:r>
    </w:p>
    <w:p>
      <w:pPr>
        <w:spacing w:after="100" w:before="0"/>
        <w:jc w:val="center"/>
      </w:pPr>
      <w:r>
        <w:rPr>
          <w:color w:val="56606A"/>
          <w:sz w:val="20"/>
          <w:szCs w:val="20"/>
          <w:rFonts w:ascii="Calibri" w:cs="Calibri" w:eastAsia="Calibri" w:hAnsi="Calibri"/>
        </w:rPr>
        <w:t xml:space="preserve">CREA/CFT nº 000000</w:t>
      </w:r>
    </w:p>
    <w:sectPr>
      <w:headerReference w:type="default" r:id="rId6"/>
      <w:footerReference w:type="default" r:id="rId7"/>
      <w:pgSz w:w="11906" w:h="16838" w:orient="portrait"/>
      <w:pgMar w:top="1300" w:right="900" w:bottom="1150" w:left="125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Relatório luminotécnico conforme ABNT NBR ISO/CIE 8995-1:2013, NBR 5101 e EN 12464-2 — gerado com Dimensiona 5410</w:t>
    </w:r>
    <w:r>
      <w:rPr>
        <w:color w:val="56606A"/>
        <w:sz w:val="15"/>
        <w:szCs w:val="15"/>
        <w:rFonts w:ascii="Calibri" w:cs="Calibri" w:eastAsia="Calibri" w:hAnsi="Calibri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3CB" w:sz="4"/>
      </w:pBdr>
      <w:tabs>
        <w:tab w:val="right" w:pos="9700"/>
      </w:tabs>
    </w:pPr>
    <w:r>
      <w:rPr>
        <w:color w:val="56606A"/>
        <w:sz w:val="15"/>
        <w:szCs w:val="15"/>
        <w:rFonts w:ascii="Calibri" w:cs="Calibri" w:eastAsia="Calibri" w:hAnsi="Calibri"/>
      </w:rPr>
      <w:t xml:space="preserve">Relatório luminotécnico — Residência unifamiliar — exemplo</w:t>
    </w:r>
    <w:r>
      <w:rPr>
        <w:color w:val="56606A"/>
        <w:sz w:val="15"/>
        <w:szCs w:val="15"/>
        <w:rFonts w:ascii="Calibri" w:cs="Calibri" w:eastAsia="Calibri" w:hAnsi="Calibri"/>
      </w:rPr>
      <w:t xml:space="preserve">	R00 · 28/10/2026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g5517s0iahroztt2t6sax.png"/><Relationship Id="rId9" Type="http://schemas.openxmlformats.org/officeDocument/2006/relationships/image" Target="media/ajlssq1qwfwtqoxxlbeht.png"/><Relationship Id="rId10" Type="http://schemas.openxmlformats.org/officeDocument/2006/relationships/image" Target="media/pubrwrspiz_7dr5un2-zy.png"/><Relationship Id="rId11" Type="http://schemas.openxmlformats.org/officeDocument/2006/relationships/image" Target="media/bsusjp684mcm-w3ckhpek.png"/><Relationship Id="rId12" Type="http://schemas.openxmlformats.org/officeDocument/2006/relationships/image" Target="media/kjch429plp-yvruxxpfrj.png"/><Relationship Id="rId13" Type="http://schemas.openxmlformats.org/officeDocument/2006/relationships/image" Target="media/x4yocqx93ggwka6kv2fg_.png"/><Relationship Id="rId14" Type="http://schemas.openxmlformats.org/officeDocument/2006/relationships/image" Target="media/2_ms5eka2vseovmk3kac3.png"/><Relationship Id="rId15" Type="http://schemas.openxmlformats.org/officeDocument/2006/relationships/image" Target="media/dvqcrkpd2n9rtqntemtos.png"/><Relationship Id="rId16" Type="http://schemas.openxmlformats.org/officeDocument/2006/relationships/image" Target="media/biiw5gxevj-w3tzvbivb9.png"/><Relationship Id="rId17" Type="http://schemas.openxmlformats.org/officeDocument/2006/relationships/image" Target="media/njhwownfolql0c4lqdzvf.png"/><Relationship Id="rId18" Type="http://schemas.openxmlformats.org/officeDocument/2006/relationships/image" Target="media/odftzdcc6r9kypxwdar52.png"/><Relationship Id="rId19" Type="http://schemas.openxmlformats.org/officeDocument/2006/relationships/image" Target="media/hagwaducz9emajk8prmdy.png"/><Relationship Id="rId20" Type="http://schemas.openxmlformats.org/officeDocument/2006/relationships/image" Target="media/zqpnz6rmimpp_mabvxiip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luminotécnico — Residência unifamiliar — exemplo</dc:title>
  <dc:creator>Dimensiona 5410</dc:creator>
  <dc:description>Relatório luminotécnico — ABNT NBR ISO/CIE 8995-1:2013 · NBR 5101 / EN 12464-2</dc:description>
  <cp:lastModifiedBy>Un-named</cp:lastModifiedBy>
  <cp:revision>1</cp:revision>
  <dcterms:created xsi:type="dcterms:W3CDTF">2026-10-28T14:51:42.172Z</dcterms:created>
  <dcterms:modified xsi:type="dcterms:W3CDTF">2026-10-28T14:51:42.172Z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