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27/10/2026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11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5419-1 a 5419-4:2026 — Proteção contra descargas atmosféricas.</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G)</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G).</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F).</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F).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H).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I).</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descargas atmosféricas (SPDA)</w:t>
      </w:r>
    </w:p>
    <w:p>
      <w:pPr>
        <w:spacing w:after="100" w:before="0"/>
      </w:pPr>
      <w:r>
        <w:rPr>
          <w:sz w:val="20"/>
          <w:szCs w:val="20"/>
          <w:rFonts w:ascii="Calibri" w:cs="Calibri" w:eastAsia="Calibri" w:hAnsi="Calibri"/>
        </w:rPr>
        <w:t xml:space="preserve">A análise de risco pela ABNT NBR 5419-2:2026 resultou em R1 = 0,09 × 10⁻⁵ com as medidas adotadas (tolerável 1 × 10⁻⁵), sem exigência de SPDA (Anexo J). Adotado SPDA NP III por opção do projeto: captação em malha de até 15 × 15 m, 4 descidas e anel de aterramento de 54 m (arranjo B), interligado ao BEP e ao aterramento da instalação elétrica.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6.9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cada condutor vivo e o barramento de proteção, com condutores de ligação curtos e retilíneos (6.3.5), em razão da classificação AQ2 quanto a descargas atmosféricas. No quadro de entrada, os DPS são de classe I+II, com corrente de impulso Iimp ≥ 12,5 kA (10/350 µs) por modo de proteção, compatíveis com o nível de proteção do SPDA (NBR 5419-4).</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K).</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 ABNT NBR 5419-4.</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SPDA — proteção contra descargas atmosféricas</w:t>
      </w:r>
    </w:p>
    <w:p>
      <w:pPr>
        <w:spacing w:after="100" w:before="0"/>
      </w:pPr>
      <w:r>
        <w:rPr>
          <w:sz w:val="20"/>
          <w:szCs w:val="20"/>
          <w:rFonts w:ascii="Calibri" w:cs="Calibri" w:eastAsia="Calibri" w:hAnsi="Calibri"/>
        </w:rPr>
        <w:t xml:space="preserve">Captação, descidas e anéis em cobre nu, alumínio ou aço cobreado com as seções mínimas da NBR 5419-3:2026; aterramento em anel (arranjo B) com cabo de cobre nu ou aço cobreado de 50 mm²; conectores de medição, fixadores, proteção mecânica das descidas e caixas de inspeção.</w:t>
      </w:r>
    </w:p>
    <w:p>
      <w:pPr>
        <w:spacing w:after="100" w:before="0"/>
        <w:ind w:left="200"/>
      </w:pPr>
      <w:r>
        <w:rPr>
          <w:color w:val="56606A"/>
          <w:sz w:val="18"/>
          <w:szCs w:val="18"/>
          <w:rFonts w:ascii="Calibri" w:cs="Calibri" w:eastAsia="Calibri" w:hAnsi="Calibri"/>
        </w:rPr>
        <w:t xml:space="preserve">Normas de fabricação: ABNT NBR 5419-3:2026; ABNT NBR 13571; ABNT NBR 16254; ABNT NBR 5419-3; ABNT NBR 6524; ABNT NBR 15465; ABNT NBR 5410.</w:t>
      </w:r>
    </w:p>
    <w:p>
      <w:pPr>
        <w:keepNext/>
        <w:spacing w:after="60" w:before="140"/>
      </w:pPr>
      <w:r>
        <w:rPr>
          <w:b/>
          <w:bCs/>
          <w:sz w:val="20"/>
          <w:szCs w:val="20"/>
          <w:rFonts w:ascii="Calibri" w:cs="Calibri" w:eastAsia="Calibri" w:hAnsi="Calibri"/>
        </w:rPr>
        <w:t xml:space="preserve">7.10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7.11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do SPDA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5419:2026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K</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I+II, Iimp 12,5 kA (10/350 µs), Uc 175 V, In 20 kA — 3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 3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F.3.1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F.6.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F.8.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F.9.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G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G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G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G.6.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H.8.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I.3.1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I.3.2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I.3.3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SPDA — ANÁLISE DE RISCO E PROJETO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5419:2026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J.1. OBJETIVO</w:t>
      </w:r>
    </w:p>
    <w:p>
      <w:pPr>
        <w:spacing w:after="100" w:before="0"/>
      </w:pPr>
      <w:r>
        <w:rPr>
          <w:sz w:val="20"/>
          <w:szCs w:val="20"/>
          <w:rFonts w:ascii="Calibri" w:cs="Calibri" w:eastAsia="Calibri" w:hAnsi="Calibri"/>
        </w:rPr>
        <w:t xml:space="preserve">Este memorial apresenta a análise de risco da estrutura "Residência unifamiliar térrea" frente às descargas atmosféricas, segundo a ABNT NBR 5419-2:2026, a definição das medidas de proteção e o projeto do sistema de proteção contra descargas atmosféricas (SPDA) com nível de proteção III, segundo a ABNT NBR 5419-3:2026, além da proteção contra surtos na entrada das linhas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J.2. NORMAS E DOCUMENTOS DE REFERÊNCIA</w:t>
      </w:r>
    </w:p>
    <w:p>
      <w:pPr>
        <w:pStyle w:val="ListParagraph"/>
        <w:numPr>
          <w:ilvl w:val="0"/>
          <w:numId w:val="1"/>
        </w:numPr>
        <w:spacing w:after="40"/>
      </w:pPr>
      <w:r>
        <w:rPr>
          <w:sz w:val="19"/>
          <w:szCs w:val="19"/>
          <w:rFonts w:ascii="Calibri" w:cs="Calibri" w:eastAsia="Calibri" w:hAnsi="Calibri"/>
        </w:rPr>
        <w:t xml:space="preserve">ABNT NBR 5419-1:2026 — Proteção contra descargas atmosféricas — Parte 1: Princípios gerais.</w:t>
      </w:r>
    </w:p>
    <w:p>
      <w:pPr>
        <w:pStyle w:val="ListParagraph"/>
        <w:numPr>
          <w:ilvl w:val="0"/>
          <w:numId w:val="1"/>
        </w:numPr>
        <w:spacing w:after="40"/>
      </w:pPr>
      <w:r>
        <w:rPr>
          <w:sz w:val="19"/>
          <w:szCs w:val="19"/>
          <w:rFonts w:ascii="Calibri" w:cs="Calibri" w:eastAsia="Calibri" w:hAnsi="Calibri"/>
        </w:rPr>
        <w:t xml:space="preserve">ABNT NBR 5419-2:2026 — Parte 2: Análise de risco (densidade de descargas NG no Anexo F).</w:t>
      </w:r>
    </w:p>
    <w:p>
      <w:pPr>
        <w:pStyle w:val="ListParagraph"/>
        <w:numPr>
          <w:ilvl w:val="0"/>
          <w:numId w:val="1"/>
        </w:numPr>
        <w:spacing w:after="40"/>
      </w:pPr>
      <w:r>
        <w:rPr>
          <w:sz w:val="19"/>
          <w:szCs w:val="19"/>
          <w:rFonts w:ascii="Calibri" w:cs="Calibri" w:eastAsia="Calibri" w:hAnsi="Calibri"/>
        </w:rPr>
        <w:t xml:space="preserve">ABNT NBR 5419-3:2026 — Parte 3: Danos físicos a estruturas e perigos à vida.</w:t>
      </w:r>
    </w:p>
    <w:p>
      <w:pPr>
        <w:pStyle w:val="ListParagraph"/>
        <w:numPr>
          <w:ilvl w:val="0"/>
          <w:numId w:val="1"/>
        </w:numPr>
        <w:spacing w:after="40"/>
      </w:pPr>
      <w:r>
        <w:rPr>
          <w:sz w:val="19"/>
          <w:szCs w:val="19"/>
          <w:rFonts w:ascii="Calibri" w:cs="Calibri" w:eastAsia="Calibri" w:hAnsi="Calibri"/>
        </w:rPr>
        <w:t xml:space="preserve">ABNT NBR 5419-4:2026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ABNT NBR 7117-1:2020 — Medição da resistividade e determinação da estratificação do 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J.3. CARACTERIZAÇÃO DA ESTRUTURA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Dimensões (L × W × H)</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15,00 × 8,00 × 5,50 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Localização relativa (CD)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Cercada por objetos da mesma altura ou mais baixos — CD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Densidade de descargas NG</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descargas/km²/ano — ABNT NBR 5419-2:2026, Anexo F — Campo Grande/MS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Ocupação (perda LF)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e demais — LF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Piso / solo junto às descidas (rt)</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Mármore ou cerâmica — rt = 0,001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Providências contra incêndio (rp)</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Extintores, hidrantes, alarme manual, compartimentação ou rotas de fuga — rp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Risco de incêndio ou explosão (rf)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Incêndio — risco normal — rf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Perigo especial (hz)</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Sem perigo especial — hz = 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Pessoas na zona / total e permanência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100 % · 8.760 h/ano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Falha de sistemas internos põe a vida em risco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falhas não põem a vida em risco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Patrimônio cultural (R3)</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Sistemas internos críticos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frequência tolerável de 1 por ano</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780"/>
        <w:gridCol w:w="1366"/>
        <w:gridCol w:w="1366"/>
        <w:gridCol w:w="2537"/>
        <w:gridCol w:w="780"/>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Linha</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Instalação (CI)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LL (m)</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 (CE)</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(CT)</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Blindagem (CLD / CLI)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UW (kV)</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energia</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Energia com neutro multiaterrado (1 / 0,2)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telecomunicações</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Aérea sem blindagem (1 /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J.4. ANÁLISE DE RISCO (NBR 5419-2:2026)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J.4.1 Áreas de exposição e número anual de eventos perigosos</w:t>
      </w:r>
    </w:p>
    <w:p>
      <w:pPr>
        <w:keepNext/>
        <w:shd w:fill="F2F5F7" w:color="auto" w:val="clear"/>
        <w:spacing w:before="60" w:after="0"/>
        <w:ind w:left="120" w:right="120"/>
      </w:pPr>
      <w:r>
        <w:rPr>
          <w:sz w:val="17"/>
          <w:szCs w:val="17"/>
          <w:rFonts w:ascii="Consolas" w:cs="Consolas" w:eastAsia="Consolas" w:hAnsi="Consolas"/>
        </w:rPr>
        <w:t xml:space="preserve">AD = L × W + 2 × (3H) × (L + W) + π × (3H)² = 1.734 m²;   ND = NG × AD × CD × 10⁻⁶ = 30 × 1.734 × 0,5 × 10⁻⁶ = 0,0260 /ano</w:t>
      </w:r>
    </w:p>
    <w:p>
      <w:pPr>
        <w:keepNext/>
        <w:shd w:fill="F2F5F7" w:color="auto" w:val="clear"/>
        <w:spacing w:before="0" w:after="0"/>
        <w:ind w:left="120" w:right="120"/>
      </w:pPr>
      <w:r>
        <w:rPr>
          <w:sz w:val="17"/>
          <w:szCs w:val="17"/>
          <w:rFonts w:ascii="Consolas" w:cs="Consolas" w:eastAsia="Consolas" w:hAnsi="Consolas"/>
        </w:rPr>
        <w:t xml:space="preserve">AM = 2 × 500 × (L + W) + π × 500² = 808.398 m²;   NM = NG × AM × 10⁻⁶ = 24,252 /ano</w:t>
      </w:r>
    </w:p>
    <w:p>
      <w:pPr>
        <w:keepNext/>
        <w:shd w:fill="F2F5F7" w:color="auto" w:val="clear"/>
        <w:spacing w:before="0" w:after="0"/>
        <w:ind w:left="120" w:right="120"/>
      </w:pPr>
      <w:r>
        <w:rPr>
          <w:sz w:val="17"/>
          <w:szCs w:val="17"/>
          <w:rFonts w:ascii="Consolas" w:cs="Consolas" w:eastAsia="Consolas" w:hAnsi="Consolas"/>
        </w:rPr>
        <w:t xml:space="preserve">Linha de energia: AL = 40 × LL = 40.000 m²; NL = NG × AL × CI × CE × CT × 10⁻⁶ = 0,1200 /ano; AI = 4 000 × LL; NI = 12,000 /ano</w:t>
      </w:r>
    </w:p>
    <w:p>
      <w:pPr>
        <w:keepNext w:val="false"/>
        <w:shd w:fill="F2F5F7" w:color="auto" w:val="clear"/>
        <w:spacing w:before="0" w:after="120"/>
        <w:ind w:left="120" w:right="120"/>
      </w:pPr>
      <w:r>
        <w:rPr>
          <w:sz w:val="17"/>
          <w:szCs w:val="17"/>
          <w:rFonts w:ascii="Consolas" w:cs="Consolas" w:eastAsia="Consolas" w:hAnsi="Consolas"/>
        </w:rPr>
        <w:t xml:space="preserve">Linha de telecomunicações: AL = 40 × LL = 40.000 m²; NL = NG × AL × CI × CE × CT × 10⁻⁶ = 0,1200 /ano; AI = 4 000 × LL; NI = 12,000 /ano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J.4.2 Perdas</w:t>
      </w:r>
    </w:p>
    <w:p>
      <w:pPr>
        <w:keepNext/>
        <w:shd w:fill="F2F5F7" w:color="auto" w:val="clear"/>
        <w:spacing w:before="60" w:after="0"/>
        <w:ind w:left="120" w:right="120"/>
      </w:pPr>
      <w:r>
        <w:rPr>
          <w:sz w:val="17"/>
          <w:szCs w:val="17"/>
          <w:rFonts w:ascii="Consolas" w:cs="Consolas" w:eastAsia="Consolas" w:hAnsi="Consolas"/>
        </w:rPr>
        <w:t xml:space="preserve">fração de exposição = (nz / nt) × (tz / 8 760) = 1,000</w:t>
      </w:r>
    </w:p>
    <w:p>
      <w:pPr>
        <w:keepNext/>
        <w:shd w:fill="F2F5F7" w:color="auto" w:val="clear"/>
        <w:spacing w:before="0" w:after="0"/>
        <w:ind w:left="120" w:right="120"/>
      </w:pPr>
      <w:r>
        <w:rPr>
          <w:sz w:val="17"/>
          <w:szCs w:val="17"/>
          <w:rFonts w:ascii="Consolas" w:cs="Consolas" w:eastAsia="Consolas" w:hAnsi="Consolas"/>
        </w:rPr>
        <w:t xml:space="preserve">LA = LU = rt × LT × fração = 0,001 × 10⁻² × 1,000 = 1,000 × 10⁻⁵</w:t>
      </w:r>
    </w:p>
    <w:p>
      <w:pPr>
        <w:keepNext w:val="false"/>
        <w:shd w:fill="F2F5F7" w:color="auto" w:val="clear"/>
        <w:spacing w:before="0" w:after="120"/>
        <w:ind w:left="120" w:right="120"/>
      </w:pPr>
      <w:r>
        <w:rPr>
          <w:sz w:val="17"/>
          <w:szCs w:val="17"/>
          <w:rFonts w:ascii="Consolas" w:cs="Consolas" w:eastAsia="Consolas" w:hAnsi="Consolas"/>
        </w:rPr>
        <w:t xml:space="preserve">LB = LV = rp × rf × hz × LF × fração = 0,5 × 0,01 × 1 × 0,01 × 1,000 = 5,000 × 10⁻⁵</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J.4.3 Componentes de risco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098"/>
        <w:gridCol w:w="1561"/>
        <w:gridCol w:w="1659"/>
        <w:gridCol w:w="1659"/>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Origem do dano</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Expressão</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medidas</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Com as medidas adotadas</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RA</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por tensões de toque e passo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PA × LA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RB</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PB × LB</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0,130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RU</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PU × LU</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0,240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0,012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RV</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PV × LV</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1,200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0,060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R1</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Risco de perda de vida humana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soma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1,596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0,088 × 10⁻⁵</w:t>
            </w:r>
          </w:p>
        </w:tc>
      </w:tr>
    </w:tbl>
    <w:p>
      <w:pPr>
        <w:spacing w:after="80" w:before="0"/>
      </w:pPr>
    </w:p>
    <w:p>
      <w:pPr>
        <w:spacing w:after="100" w:before="0"/>
      </w:pPr>
      <w:r>
        <w:rPr>
          <w:sz w:val="20"/>
          <w:szCs w:val="20"/>
          <w:rFonts w:ascii="Calibri" w:cs="Calibri" w:eastAsia="Calibri" w:hAnsi="Calibri"/>
        </w:rPr>
        <w:t xml:space="preserve">Probabilidades com as medidas adotadas: PB = 0,1 (NP III); PTA = 1; PEB = PSPD = 0,05 (DPS compatíveis com NP III–IV); PTU = 1. Linha de energia: PLD = 1, PLI = 0,3, PU = 0,0500, PV = 0,0500, PW = 0,0500, PZ = 0,0030; Linha de telecomunicações: PLD = 1, PLI = 0,2, PU = 0,0500, PV = 0,0500, PW = 0,0500, PZ = 0,0100.</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J.4.4 Combinações de nível de proteção e DPS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854"/>
        <w:gridCol w:w="1854"/>
        <w:gridCol w:w="1854"/>
        <w:gridCol w:w="1854"/>
      </w:tblGrid>
      <w:tr>
        <w:trPr>
          <w:tblHeader/>
        </w:trPr>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Nível de proteção</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DPS coordenados</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III–IV</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Sem SPDA</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1,596</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0,228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0,185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0,170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IV</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0,103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0,060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0,046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0,088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0,044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0,037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0,022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0,018 ✓</w:t>
            </w:r>
          </w:p>
        </w:tc>
      </w:tr>
    </w:tbl>
    <w:p>
      <w:pPr>
        <w:spacing w:after="80" w:before="0"/>
      </w:pPr>
    </w:p>
    <w:p>
      <w:pPr>
        <w:spacing w:after="100" w:before="0"/>
        <w:ind w:left="200"/>
      </w:pPr>
      <w:r>
        <w:rPr>
          <w:color w:val="56606A"/>
          <w:sz w:val="18"/>
          <w:szCs w:val="18"/>
          <w:rFonts w:ascii="Calibri" w:cs="Calibri" w:eastAsia="Calibri" w:hAnsi="Calibri"/>
        </w:rPr>
        <w:t xml:space="preserve">Valores de R1 em 10⁻⁵ (✓ atende ao risco tolerável). Com SPDA, os DPS da entrada devem ser compatíveis com o mesmo nível de proteção (equipotencialização para descargas atmosféricas).</w:t>
      </w:r>
    </w:p>
    <w:p>
      <w:pPr>
        <w:keepNext/>
        <w:spacing w:before="60" w:after="20"/>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1619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Risco R1 e frequência de danos F antes e depois das medidas de proteção, comparados aos valores toleráveis.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J.4.5 Verificação</w:t>
      </w:r>
    </w:p>
    <w:p>
      <w:pPr>
        <w:spacing w:after="50"/>
      </w:pPr>
      <w:r>
        <w:rPr>
          <w:color w:val="1F6E43"/>
          <w:sz w:val="19"/>
          <w:szCs w:val="19"/>
          <w:rFonts w:ascii="Calibri" w:cs="Calibri" w:eastAsia="Calibri" w:hAnsi="Calibri"/>
        </w:rPr>
        <w:t xml:space="preserve">✓ R1 = 0,088 × 10⁻⁵ ≤ RT = 1 × 10⁻⁵ (perda de vida humana)</w:t>
      </w:r>
    </w:p>
    <w:p>
      <w:pPr>
        <w:spacing w:after="50"/>
      </w:pPr>
      <w:r>
        <w:rPr>
          <w:color w:val="1F6E43"/>
          <w:sz w:val="19"/>
          <w:szCs w:val="19"/>
          <w:rFonts w:ascii="Calibri" w:cs="Calibri" w:eastAsia="Calibri" w:hAnsi="Calibri"/>
        </w:rPr>
        <w:t xml:space="preserve">✓ Frequência de danos F = FC + FM + FW + FZ = 0,5570 /ano ≤ FT = 1,0 /ano (sistemas internos)</w:t>
      </w:r>
    </w:p>
    <w:p>
      <w:pPr>
        <w:spacing w:after="100" w:before="0"/>
      </w:pPr>
      <w:r>
        <w:rPr>
          <w:sz w:val="20"/>
          <w:szCs w:val="20"/>
          <w:rFonts w:ascii="Calibri" w:cs="Calibri" w:eastAsia="Calibri" w:hAnsi="Calibri"/>
        </w:rPr>
        <w:t xml:space="preserve">Sem SPDA, o risco R1 atende ao tolerável com dPS compatíveis com NP III–IV na entrada das linhas. O SPDA NP III é adotado por opção do projeto (proteção do patrimônio ou exigência de outra regulamentação).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J.5. PROJETO DO SPDA (NBR 5419-3:2026)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J.5.1 Nível de proteção e parâmetros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66"/>
        <w:gridCol w:w="4390"/>
      </w:tblGrid>
      <w:tr>
        <w:trPr>
          <w:tblHeader/>
        </w:trPr>
        <w:tc>
          <w:tcPr>
            <w:tcW w:type="dxa" w:w="536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439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NP III</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Raio da esfera rolante</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45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Máximo afastamento da malha de captação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 15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Ângulo de proteção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68,6° para 5,5 m de altura</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Distância típica entre descidas e entre anéis</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m (tolerância de 20 %)</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Coeficiente ki (distância de segurança)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0,04</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Corrente de pico de referência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100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J.5.2 Subsistema de captação</w:t>
      </w:r>
    </w:p>
    <w:p>
      <w:pPr>
        <w:keepNext/>
        <w:shd w:fill="F2F5F7" w:color="auto" w:val="clear"/>
        <w:spacing w:before="60" w:after="0"/>
        <w:ind w:left="120" w:right="120"/>
      </w:pPr>
      <w:r>
        <w:rPr>
          <w:sz w:val="17"/>
          <w:szCs w:val="17"/>
          <w:rFonts w:ascii="Consolas" w:cs="Consolas" w:eastAsia="Consolas" w:hAnsi="Consolas"/>
        </w:rPr>
        <w:t xml:space="preserve">Método das malhas: condutores no perímetro da cobertura e 0 + 0 condutores internos</w:t>
      </w:r>
    </w:p>
    <w:p>
      <w:pPr>
        <w:keepNext/>
        <w:shd w:fill="F2F5F7" w:color="auto" w:val="clear"/>
        <w:spacing w:before="0" w:after="0"/>
        <w:ind w:left="120" w:right="120"/>
      </w:pPr>
      <w:r>
        <w:rPr>
          <w:sz w:val="17"/>
          <w:szCs w:val="17"/>
          <w:rFonts w:ascii="Consolas" w:cs="Consolas" w:eastAsia="Consolas" w:hAnsi="Consolas"/>
        </w:rPr>
        <w:t xml:space="preserve">malha resultante: 15,00 × 8,00 m ≤ 15 × 15 m</w:t>
      </w:r>
    </w:p>
    <w:p>
      <w:pPr>
        <w:keepNext w:val="false"/>
        <w:shd w:fill="F2F5F7" w:color="auto" w:val="clear"/>
        <w:spacing w:before="0" w:after="120"/>
        <w:ind w:left="120" w:right="120"/>
      </w:pPr>
      <w:r>
        <w:rPr>
          <w:sz w:val="17"/>
          <w:szCs w:val="17"/>
          <w:rFonts w:ascii="Consolas" w:cs="Consolas" w:eastAsia="Consolas" w:hAnsi="Consolas"/>
        </w:rPr>
        <w:t xml:space="preserve">comprimento da captação: perímetro 46,0 m + internos 0,0 m = 46 m</w:t>
      </w:r>
    </w:p>
    <w:p>
      <w:pPr>
        <w:spacing w:after="100" w:before="0"/>
      </w:pPr>
      <w:r>
        <w:rPr>
          <w:sz w:val="20"/>
          <w:szCs w:val="20"/>
          <w:rFonts w:ascii="Calibri" w:cs="Calibri" w:eastAsia="Calibri" w:hAnsi="Calibri"/>
        </w:rPr>
        <w:t xml:space="preserve">Os condutores de captação seguem as bordas, cumeeiras e saliências da cobertura; elementos metálicos da cobertura (rufos, calhas, antenas, equipamentos) são interligados à captação ou protegidos por captores próprios, respeitada a distância de segurança.</w:t>
      </w:r>
    </w:p>
    <w:p>
      <w:pPr>
        <w:keepNext/>
        <w:spacing w:before="60" w:after="20"/>
      </w:pPr>
      <w:r>
        <w:drawing>
          <wp:inline distT="0" distB="0" distL="0" distR="0">
            <wp:extent cx="6096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6386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da cobertura: captação, 4 descidas (D1 a D4) e anel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J.5.3 Descidas e anéis</w:t>
      </w:r>
    </w:p>
    <w:p>
      <w:pPr>
        <w:keepNext/>
        <w:shd w:fill="F2F5F7" w:color="auto" w:val="clear"/>
        <w:spacing w:before="60" w:after="0"/>
        <w:ind w:left="120" w:right="120"/>
      </w:pPr>
      <w:r>
        <w:rPr>
          <w:sz w:val="17"/>
          <w:szCs w:val="17"/>
          <w:rFonts w:ascii="Consolas" w:cs="Consolas" w:eastAsia="Consolas" w:hAnsi="Consolas"/>
        </w:rPr>
        <w:t xml:space="preserve">perímetro = 46,0 m;   descidas: 4 (cantos e intermediárias), espaçamento máximo de 15,0 m ≤ 15 m (+20 %)</w:t>
      </w:r>
    </w:p>
    <w:p>
      <w:pPr>
        <w:keepNext w:val="false"/>
        <w:shd w:fill="F2F5F7" w:color="auto" w:val="clear"/>
        <w:spacing w:before="0" w:after="120"/>
        <w:ind w:left="120" w:right="120"/>
      </w:pPr>
      <w:r>
        <w:rPr>
          <w:sz w:val="17"/>
          <w:szCs w:val="17"/>
          <w:rFonts w:ascii="Consolas" w:cs="Consolas" w:eastAsia="Consolas" w:hAnsi="Consolas"/>
        </w:rPr>
        <w:t xml:space="preserve">anéis intermediários: 0 — altura menor que o espaçamento típico;   comprimento das descidas: 26 m</w:t>
      </w:r>
    </w:p>
    <w:p>
      <w:pPr>
        <w:spacing w:after="100" w:before="0"/>
      </w:pPr>
      <w:r>
        <w:rPr>
          <w:sz w:val="20"/>
          <w:szCs w:val="20"/>
          <w:rFonts w:ascii="Calibri" w:cs="Calibri" w:eastAsia="Calibri" w:hAnsi="Calibri"/>
        </w:rPr>
        <w:t xml:space="preserve">As descidas são instaladas preferencialmente nos cantos, afastadas de portas e janelas, com conector de medição (desconexão para ensaio) e proteção mecânica por eletroduto de PVC rígido junto ao solo.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J.5.4 Subsistema de aterramento (arranjo B — anel)</w:t>
      </w:r>
    </w:p>
    <w:p>
      <w:pPr>
        <w:keepNext/>
        <w:shd w:fill="F2F5F7" w:color="auto" w:val="clear"/>
        <w:spacing w:before="60" w:after="0"/>
        <w:ind w:left="120" w:right="120"/>
      </w:pPr>
      <w:r>
        <w:rPr>
          <w:sz w:val="17"/>
          <w:szCs w:val="17"/>
          <w:rFonts w:ascii="Consolas" w:cs="Consolas" w:eastAsia="Consolas" w:hAnsi="Consolas"/>
        </w:rPr>
        <w:t xml:space="preserve">anel a 1,00 m das paredes e 0,50 m de profundidade: 17,00 × 10,00 m; comprimento 54,0 m</w:t>
      </w:r>
    </w:p>
    <w:p>
      <w:pPr>
        <w:keepNext/>
        <w:shd w:fill="F2F5F7" w:color="auto" w:val="clear"/>
        <w:spacing w:before="0" w:after="0"/>
        <w:ind w:left="120" w:right="120"/>
      </w:pPr>
      <w:r>
        <w:rPr>
          <w:sz w:val="17"/>
          <w:szCs w:val="17"/>
          <w:rFonts w:ascii="Consolas" w:cs="Consolas" w:eastAsia="Consolas" w:hAnsi="Consolas"/>
        </w:rPr>
        <w:t xml:space="preserve">raio médio re = √(A / π) = √(170,0 / π) = 7,36 m;   l1 (NP III, ρ = 119 Ω·m) = 5,00 m</w:t>
      </w:r>
    </w:p>
    <w:p>
      <w:pPr>
        <w:keepNext/>
        <w:shd w:fill="F2F5F7" w:color="auto" w:val="clear"/>
        <w:spacing w:before="0" w:after="0"/>
        <w:ind w:left="120" w:right="120"/>
      </w:pPr>
      <w:r>
        <w:rPr>
          <w:sz w:val="17"/>
          <w:szCs w:val="17"/>
          <w:rFonts w:ascii="Consolas" w:cs="Consolas" w:eastAsia="Consolas" w:hAnsi="Consolas"/>
        </w:rPr>
        <w:t xml:space="preserve">re ≥ l1: não são necessários eletrodos adicionais</w:t>
      </w:r>
    </w:p>
    <w:p>
      <w:pPr>
        <w:keepNext w:val="false"/>
        <w:shd w:fill="F2F5F7" w:color="auto" w:val="clear"/>
        <w:spacing w:before="0" w:after="120"/>
        <w:ind w:left="120" w:right="120"/>
      </w:pPr>
      <w:r>
        <w:rPr>
          <w:sz w:val="17"/>
          <w:szCs w:val="17"/>
          <w:rFonts w:ascii="Consolas" w:cs="Consolas" w:eastAsia="Consolas" w:hAnsi="Consolas"/>
        </w:rPr>
        <w:t xml:space="preserve">resistência estimada do anel (informativa): R = ρ / (2π²D) × [ln(8D/d) + ln(4D/h)] = 5,83 Ω (ρ do módulo Aterramento)</w:t>
      </w:r>
    </w:p>
    <w:p>
      <w:pPr>
        <w:spacing w:after="100" w:before="0"/>
      </w:pPr>
      <w:r>
        <w:rPr>
          <w:sz w:val="20"/>
          <w:szCs w:val="20"/>
          <w:rFonts w:ascii="Calibri" w:cs="Calibri" w:eastAsia="Calibri" w:hAnsi="Calibri"/>
        </w:rPr>
        <w:t xml:space="preserve">O anel de aterramento é interligado ao barramento de equipotencialização principal (BEP) e ao aterramento das instalações elétricas, formando um único sistema de aterramento. A eficácia do subsistema é verificada pela continuidade elétrica dos condutores e conexões; a resistência calculada é informativa.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J.5.5 Distância de segurança</w:t>
      </w:r>
    </w:p>
    <w:p>
      <w:pPr>
        <w:keepNext/>
        <w:shd w:fill="F2F5F7" w:color="auto" w:val="clear"/>
        <w:spacing w:before="60" w:after="0"/>
        <w:ind w:left="120" w:right="120"/>
      </w:pPr>
      <w:r>
        <w:rPr>
          <w:sz w:val="17"/>
          <w:szCs w:val="17"/>
          <w:rFonts w:ascii="Consolas" w:cs="Consolas" w:eastAsia="Consolas" w:hAnsi="Consolas"/>
        </w:rPr>
        <w:t xml:space="preserve">s = ki × (kc / km) × l = 0,04 × (0,44 / 1) × 5,50 = 0,10 m</w:t>
      </w:r>
    </w:p>
    <w:p>
      <w:pPr>
        <w:keepNext w:val="false"/>
        <w:shd w:fill="F2F5F7" w:color="auto" w:val="clear"/>
        <w:spacing w:before="0" w:after="120"/>
        <w:ind w:left="120" w:right="120"/>
      </w:pPr>
      <w:r>
        <w:rPr>
          <w:sz w:val="17"/>
          <w:szCs w:val="17"/>
          <w:rFonts w:ascii="Consolas" w:cs="Consolas" w:eastAsia="Consolas" w:hAnsi="Consolas"/>
        </w:rPr>
        <w:t xml:space="preserve">kc = 0,44 (4 descidas); km = 1 (ar); l = altura até a equipotencialização junto ao solo</w:t>
      </w:r>
    </w:p>
    <w:p>
      <w:pPr>
        <w:spacing w:after="100" w:before="0"/>
      </w:pPr>
      <w:r>
        <w:rPr>
          <w:sz w:val="20"/>
          <w:szCs w:val="20"/>
          <w:rFonts w:ascii="Calibri" w:cs="Calibri" w:eastAsia="Calibri" w:hAnsi="Calibri"/>
        </w:rPr>
        <w:t xml:space="preserve">Partes metálicas e instalações internas a menos de 0,10 m da captação ou das descidas devem ser interligadas ao SPDA ou afastadas dessa distância.</w:t>
      </w:r>
    </w:p>
    <w:p>
      <w:pPr>
        <w:keepNext/>
        <w:spacing w:before="60" w:after="20"/>
      </w:pPr>
      <w:r>
        <w:drawing>
          <wp:inline distT="0" distB="0" distL="0" distR="0">
            <wp:extent cx="6096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97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Elevação: captação, descidas, anéis, anel de aterramento e zona protegida (esfera rolante).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J.5.6 Equipotencialização e DPS (NBR 5419-4:2026)</w:t>
      </w:r>
    </w:p>
    <w:p>
      <w:pPr>
        <w:spacing w:after="100" w:before="0"/>
      </w:pPr>
      <w:r>
        <w:rPr>
          <w:sz w:val="20"/>
          <w:szCs w:val="20"/>
          <w:rFonts w:ascii="Calibri" w:cs="Calibri" w:eastAsia="Calibri" w:hAnsi="Calibri"/>
        </w:rPr>
        <w:t xml:space="preserve">Na entrada das linhas de energia e de sinal, os condutores metálicos são ligados ao BEP diretamente ou por DPS classe I. Para o NP III, metade da corrente de pico de 100 kA dividida entre os 4 condutores da linha de energia resulta em Iimp ≥ 12,5 kA (10/350 µs) por modo de proteção. Nos quadros de distribuição a jusante são previstos DPS classe II coordenados.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J.5.7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58"/>
        <w:gridCol w:w="878"/>
        <w:gridCol w:w="683"/>
        <w:gridCol w:w="2537"/>
      </w:tblGrid>
      <w:tr>
        <w:trPr>
          <w:tblHeader/>
        </w:trPr>
        <w:tc>
          <w:tcPr>
            <w:tcW w:type="dxa" w:w="565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15465</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16254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r>
    </w:tbl>
    <w:p>
      <w:pPr>
        <w:spacing w:after="80" w:before="0"/>
      </w:pPr>
    </w:p>
    <w:p>
      <w:pPr>
        <w:spacing w:after="100" w:before="0"/>
        <w:ind w:left="200"/>
      </w:pPr>
      <w:r>
        <w:rPr>
          <w:color w:val="56606A"/>
          <w:sz w:val="18"/>
          <w:szCs w:val="18"/>
          <w:rFonts w:ascii="Calibri" w:cs="Calibri" w:eastAsia="Calibri" w:hAnsi="Calibri"/>
        </w:rPr>
        <w:t xml:space="preserve">Seções mínimas (NBR 5419-3:2026): captação e descidas — cobre ou aço cobreado 35 mm², alumínio 70 mm², aço zincado a quente 50 mm²; aterramento — cobre (7 ou 19 fios) ou aço cobreado 50 mm². Não utilizar aço zincado a quente na transição concreto–solo.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J.6. INSPEÇÃO E MANUTENÇÃO</w:t>
      </w:r>
    </w:p>
    <w:p>
      <w:pPr>
        <w:pStyle w:val="ListParagraph"/>
        <w:numPr>
          <w:ilvl w:val="0"/>
          <w:numId w:val="1"/>
        </w:numPr>
        <w:spacing w:after="40"/>
      </w:pPr>
      <w:r>
        <w:rPr>
          <w:sz w:val="19"/>
          <w:szCs w:val="19"/>
          <w:rFonts w:ascii="Calibri" w:cs="Calibri" w:eastAsia="Calibri" w:hAnsi="Calibri"/>
        </w:rPr>
        <w:t xml:space="preserve">Inspeção visual anual e inspeção completa a cada 3 anos (demais estruturas).</w:t>
      </w:r>
    </w:p>
    <w:p>
      <w:pPr>
        <w:pStyle w:val="ListParagraph"/>
        <w:numPr>
          <w:ilvl w:val="0"/>
          <w:numId w:val="1"/>
        </w:numPr>
        <w:spacing w:after="40"/>
      </w:pPr>
      <w:r>
        <w:rPr>
          <w:sz w:val="19"/>
          <w:szCs w:val="19"/>
          <w:rFonts w:ascii="Calibri" w:cs="Calibri" w:eastAsia="Calibri" w:hAnsi="Calibri"/>
        </w:rPr>
        <w:t xml:space="preserve">Inspeções também após a conclusão da obra, após alterações ou reparos na estrutura e após descarga atmosférica na estrutura.</w:t>
      </w:r>
    </w:p>
    <w:p>
      <w:pPr>
        <w:pStyle w:val="ListParagraph"/>
        <w:numPr>
          <w:ilvl w:val="0"/>
          <w:numId w:val="1"/>
        </w:numPr>
        <w:spacing w:after="40"/>
      </w:pPr>
      <w:r>
        <w:rPr>
          <w:sz w:val="19"/>
          <w:szCs w:val="19"/>
          <w:rFonts w:ascii="Calibri" w:cs="Calibri" w:eastAsia="Calibri" w:hAnsi="Calibri"/>
        </w:rPr>
        <w:t xml:space="preserve">Verificar: integridade e fixação dos condutores e captores, corrosão, conexões, continuidade elétrica das descidas e do aterramento, distâncias de segurança e equipotencializações, estado dos DPS.</w:t>
      </w:r>
    </w:p>
    <w:p>
      <w:pPr>
        <w:pStyle w:val="ListParagraph"/>
        <w:numPr>
          <w:ilvl w:val="0"/>
          <w:numId w:val="1"/>
        </w:numPr>
        <w:spacing w:after="40"/>
      </w:pPr>
      <w:r>
        <w:rPr>
          <w:sz w:val="19"/>
          <w:szCs w:val="19"/>
          <w:rFonts w:ascii="Calibri" w:cs="Calibri" w:eastAsia="Calibri" w:hAnsi="Calibri"/>
        </w:rPr>
        <w:t xml:space="preserve">Registrar as inspeções em relatório técnico com ART, mantendo a documentação do SPDA atualizada.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J.7. CONCLUSÃO</w:t>
      </w:r>
    </w:p>
    <w:p>
      <w:pPr>
        <w:spacing w:after="100" w:before="0"/>
      </w:pPr>
      <w:r>
        <w:rPr>
          <w:sz w:val="20"/>
          <w:szCs w:val="20"/>
          <w:rFonts w:ascii="Calibri" w:cs="Calibri" w:eastAsia="Calibri" w:hAnsi="Calibri"/>
        </w:rPr>
        <w:t xml:space="preserve">Com as medidas adotadas, o risco de perda de vida humana atende ao valor tolerável da ABNT NBR 5419-2:2026. O SPDA nível III tem 4 descidas, captação em malha e anel de aterramento de 54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J — ANEXO — DENSIDADE DE DESCARGAS ATMOSFÉRICAS NG EM MATO GROSSO DO SUL</w:t>
      </w:r>
    </w:p>
    <w:p>
      <w:pPr>
        <w:spacing w:after="100" w:before="0"/>
      </w:pPr>
      <w:r>
        <w:rPr>
          <w:sz w:val="20"/>
          <w:szCs w:val="20"/>
          <w:rFonts w:ascii="Calibri" w:cs="Calibri" w:eastAsia="Calibri" w:hAnsi="Calibri"/>
        </w:rPr>
        <w:t xml:space="preserve">Valores de NG (descargas atmosféricas por km² por ano) dos 79 municípios de Mato Grosso do Sul, conforme a tabela municipal do Anexo F da ABNT NBR 5419-2:2026. Valor adotado neste memorial: Campo Grande, NG = 30.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7"/>
        <w:gridCol w:w="1171"/>
        <w:gridCol w:w="3707"/>
        <w:gridCol w:w="1171"/>
      </w:tblGrid>
      <w:tr>
        <w:trPr>
          <w:tblHeader/>
        </w:trPr>
        <w:tc>
          <w:tcPr>
            <w:tcW w:type="dxa" w:w="370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Município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NG</w:t>
            </w:r>
          </w:p>
        </w:tc>
        <w:tc>
          <w:tcPr>
            <w:tcW w:type="dxa" w:w="370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Município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NG</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Água Clara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Itaquiraí</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Alcinópolis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Ivinhema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Amambai</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Japorã</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Anastácio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Jaraguari</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Anaurilândia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Jardim</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Angélica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Jateí</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Antônio João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Juti</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Aparecida do Taboado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18</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Ladário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16</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Aquidauana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Laguna Carapã</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Aral Moreira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Maracaju</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Bandeirantes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Miranda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Bataguassu</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Mundo Novo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Batayporã</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Naviraí</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Bela Vista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30</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Nioaque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Bodoquena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Nova Alvorada do Sul</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Bonito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Nova Andradina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Brasilândia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Novo Horizonte do Sul</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Caarapó</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Paraíso das Águas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Camapuã</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Paranaíba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Campo Grande (adotado)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30</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Paranhos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Caracol</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Pedro Gomes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Cassilândia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Ponta Porã</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Chapadão do Sul</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Porto Murtinho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Corguinho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18</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Ribas do Rio Pardo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Coronel Sapucaia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Rio Brilhante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Corumbá</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Rio Negro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Costa Rica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Rio Verde de Mato Grosso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Coxim</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Rochedo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Deodápolis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Santa Rita do Pardo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Dois Irmãos do Buriti</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São Gabriel do Oeste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Douradina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Selvíria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Dourados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Sete Quedas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26</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Eldorado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Sidrolândia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Fátima do Sul</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Sonora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Figueirão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Tacuru</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Glória de Dourados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Taquarussu</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Guia Lopes da Laguna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Terenos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Iguatemi</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Três Lagoas</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Inocência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Vicentina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22</w:t>
            </w:r>
          </w:p>
        </w:tc>
      </w:tr>
      <w:tr>
        <w:trPr>
          <w:cantSplit/>
        </w:trPr>
        <w:tc>
          <w:tcPr>
            <w:tcW w:type="dxa" w:w="3707"/>
            <w:tcMar>
              <w:top w:type="dxa" w:w="30"/>
              <w:left w:type="dxa" w:w="70"/>
              <w:bottom w:type="dxa" w:w="30"/>
              <w:right w:type="dxa" w:w="70"/>
            </w:tcMar>
          </w:tcPr>
          <w:p>
            <w:pPr>
              <w:jc w:val="left"/>
            </w:pPr>
            <w:r>
              <w:rPr>
                <w:sz w:val="15"/>
                <w:szCs w:val="15"/>
                <w:rFonts w:ascii="Calibri" w:cs="Calibri" w:eastAsia="Calibri" w:hAnsi="Calibri"/>
              </w:rPr>
              <w:t xml:space="preserve">Itaporã</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20</w:t>
            </w:r>
          </w:p>
        </w:tc>
        <w:tc>
          <w:tcPr>
            <w:tcW w:type="dxa" w:w="3707"/>
            <w:tcMar>
              <w:top w:type="dxa" w:w="30"/>
              <w:left w:type="dxa" w:w="70"/>
              <w:bottom w:type="dxa" w:w="30"/>
              <w:right w:type="dxa" w:w="70"/>
            </w:tcMar>
          </w:tcPr>
          <w:p>
            <w:pPr>
              <w:jc w:val="left"/>
            </w:pPr>
          </w:p>
        </w:tc>
        <w:tc>
          <w:tcPr>
            <w:tcW w:type="dxa" w:w="1171"/>
            <w:tcMar>
              <w:top w:type="dxa" w:w="30"/>
              <w:left w:type="dxa" w:w="70"/>
              <w:bottom w:type="dxa" w:w="30"/>
              <w:right w:type="dxa" w:w="70"/>
            </w:tcMar>
          </w:tcPr>
          <w:p>
            <w:pPr>
              <w:jc w:val="right"/>
            </w:pPr>
          </w:p>
        </w:tc>
      </w:tr>
    </w:tbl>
    <w:p>
      <w:pPr>
        <w:spacing w:after="80" w:before="0"/>
      </w:pP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K</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 Uc 175 V, Iimp 12,5 kA (10/350 µs), In 20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 NBR 5419-4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Uc 175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K.9 SPDA — proteção contra descargas atmosféricas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K.10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K.11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27/10/2026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nb4ut3aejdayotuneln.png"/><Relationship Id="rId9" Type="http://schemas.openxmlformats.org/officeDocument/2006/relationships/image" Target="media/tkphvyjtsusjv_lsv58m5.png"/><Relationship Id="rId10" Type="http://schemas.openxmlformats.org/officeDocument/2006/relationships/image" Target="media/f1sz9sdls8ghb8ls5oepd.png"/><Relationship Id="rId11" Type="http://schemas.openxmlformats.org/officeDocument/2006/relationships/image" Target="media/nh6ms_oyccqxlkjk6mp0i.png"/><Relationship Id="rId12" Type="http://schemas.openxmlformats.org/officeDocument/2006/relationships/image" Target="media/nklc62wgdts1ejjrvdac8.png"/><Relationship Id="rId13" Type="http://schemas.openxmlformats.org/officeDocument/2006/relationships/image" Target="media/rjks5ebdmc9aj9och6znp.png"/><Relationship Id="rId14" Type="http://schemas.openxmlformats.org/officeDocument/2006/relationships/image" Target="media/p5vczmnsnq4giska4evx_.png"/><Relationship Id="rId15" Type="http://schemas.openxmlformats.org/officeDocument/2006/relationships/image" Target="media/sd2yzbt59si3-moqyonm9.png"/><Relationship Id="rId16" Type="http://schemas.openxmlformats.org/officeDocument/2006/relationships/image" Target="media/aqqikas1snjy7luw62syv.png"/><Relationship Id="rId17" Type="http://schemas.openxmlformats.org/officeDocument/2006/relationships/image" Target="media/y6ss7mdwlc78buhwohee5.png"/><Relationship Id="rId18" Type="http://schemas.openxmlformats.org/officeDocument/2006/relationships/image" Target="media/v5wbwenrrn0k1znm_mwaq.png"/><Relationship Id="rId19" Type="http://schemas.openxmlformats.org/officeDocument/2006/relationships/image" Target="media/a4i7auf5m2ncr4s7gqf3r.png"/><Relationship Id="rId20" Type="http://schemas.openxmlformats.org/officeDocument/2006/relationships/image" Target="media/3wgfoinb99eqvnfifczxi.png"/><Relationship Id="rId21" Type="http://schemas.openxmlformats.org/officeDocument/2006/relationships/image" Target="media/9ywzcpavytup4ymeiw8ne.png"/><Relationship Id="rId22" Type="http://schemas.openxmlformats.org/officeDocument/2006/relationships/image" Target="media/vd7hiqf-1uchisama9yr7.png"/><Relationship Id="rId23" Type="http://schemas.openxmlformats.org/officeDocument/2006/relationships/image" Target="media/dkv6ips6soysqsogwuhec.png"/><Relationship Id="rId24" Type="http://schemas.openxmlformats.org/officeDocument/2006/relationships/image" Target="media/zpfzj2it5jub3dbcxuyjf.png"/><Relationship Id="rId25" Type="http://schemas.openxmlformats.org/officeDocument/2006/relationships/image" Target="media/_aqdmlygqnpwwlc2m9ttp.png"/><Relationship Id="rId26" Type="http://schemas.openxmlformats.org/officeDocument/2006/relationships/image" Target="media/xry1fszr9ju_kfikvlhkh.png"/><Relationship Id="rId27" Type="http://schemas.openxmlformats.org/officeDocument/2006/relationships/image" Target="media/qqrvdibengxyndrm-ig2n.png"/><Relationship Id="rId28" Type="http://schemas.openxmlformats.org/officeDocument/2006/relationships/image" Target="media/5fkn1dy_pgfmexw57pi3v.png"/><Relationship Id="rId29" Type="http://schemas.openxmlformats.org/officeDocument/2006/relationships/image" Target="media/rzetrdbuq-_uvxsets1ix.png"/><Relationship Id="rId30" Type="http://schemas.openxmlformats.org/officeDocument/2006/relationships/image" Target="media/fpzj0mcq5mfttbzrouewc.png"/><Relationship Id="rId31" Type="http://schemas.openxmlformats.org/officeDocument/2006/relationships/image" Target="media/qysuq0yhbue27s1krv2le.png"/><Relationship Id="rId32" Type="http://schemas.openxmlformats.org/officeDocument/2006/relationships/image" Target="media/cmoqa2hqnjxtx5c8luefm.png"/><Relationship Id="rId33" Type="http://schemas.openxmlformats.org/officeDocument/2006/relationships/image" Target="media/g6wesbvbolnyq1pfovqrv.png"/><Relationship Id="rId34" Type="http://schemas.openxmlformats.org/officeDocument/2006/relationships/image" Target="media/0tjqdsjwlnhi9-axwmway.png"/><Relationship Id="rId35" Type="http://schemas.openxmlformats.org/officeDocument/2006/relationships/image" Target="media/qkbysqjgsxycpuckxnvmo.png"/><Relationship Id="rId36" Type="http://schemas.openxmlformats.org/officeDocument/2006/relationships/image" Target="media/qdfyf82inspxklodc_9s2.png"/><Relationship Id="rId37" Type="http://schemas.openxmlformats.org/officeDocument/2006/relationships/image" Target="media/en0umxerg6lqfh_ef5sgy.png"/><Relationship Id="rId38" Type="http://schemas.openxmlformats.org/officeDocument/2006/relationships/image" Target="media/vpgikaae0_fiwpp75y2hs.png"/><Relationship Id="rId39" Type="http://schemas.openxmlformats.org/officeDocument/2006/relationships/image" Target="media/ffhc0zl1cbccwlutwllnx.png"/><Relationship Id="rId40" Type="http://schemas.openxmlformats.org/officeDocument/2006/relationships/image" Target="media/ogu_xdfvita_y45iiekm8.png"/><Relationship Id="rId41" Type="http://schemas.openxmlformats.org/officeDocument/2006/relationships/image" Target="media/th7taud9yxf9tnbjiunwr.png"/><Relationship Id="rId42" Type="http://schemas.openxmlformats.org/officeDocument/2006/relationships/image" Target="media/rotfwridmguxhemylnm-_.png"/><Relationship Id="rId43" Type="http://schemas.openxmlformats.org/officeDocument/2006/relationships/image" Target="media/plu6fssknpak6nppjnfx1.png"/><Relationship Id="rId44" Type="http://schemas.openxmlformats.org/officeDocument/2006/relationships/image" Target="media/7nsml8iob0xvvucmmnvxq.png"/><Relationship Id="rId45" Type="http://schemas.openxmlformats.org/officeDocument/2006/relationships/image" Target="media/snhi5esxqogi8euwcte55.png"/><Relationship Id="rId46" Type="http://schemas.openxmlformats.org/officeDocument/2006/relationships/image" Target="media/v-rk9ln5yp7r7cvc0oeei.png"/><Relationship Id="rId47" Type="http://schemas.openxmlformats.org/officeDocument/2006/relationships/image" Target="media/gghzckt3kcq53fwnsk-dr.png"/><Relationship Id="rId48" Type="http://schemas.openxmlformats.org/officeDocument/2006/relationships/image" Target="media/vcluso74raif2meuqbd-r.png"/><Relationship Id="rId49" Type="http://schemas.openxmlformats.org/officeDocument/2006/relationships/image" Target="media/f7nul9huy89ck6edanud0.png"/><Relationship Id="rId50" Type="http://schemas.openxmlformats.org/officeDocument/2006/relationships/image" Target="media/ec5ru0tsus-rybrde_ept.png"/><Relationship Id="rId51" Type="http://schemas.openxmlformats.org/officeDocument/2006/relationships/image" Target="media/rnbc2t-ixpqgdksp76aso.png"/><Relationship Id="rId52" Type="http://schemas.openxmlformats.org/officeDocument/2006/relationships/image" Target="media/ttqpqxvoudtl28hq3h8ka.png"/><Relationship Id="rId53" Type="http://schemas.openxmlformats.org/officeDocument/2006/relationships/image" Target="media/r5exadvejy0wgravybgjw.png"/><Relationship Id="rId54" Type="http://schemas.openxmlformats.org/officeDocument/2006/relationships/image" Target="media/5aplhyxehbglaswvh_rje.png"/><Relationship Id="rId55" Type="http://schemas.openxmlformats.org/officeDocument/2006/relationships/image" Target="media/8mmyo0ki0qqfivn0scnm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2026-10-27T12:25:04.229Z</dcterms:created>
  <dcterms:modified xsi:type="dcterms:W3CDTF">2026-10-27T12:25:04.229Z</dcterms:modified>
</cp:coreProperties>
</file>

<file path=docProps/custom.xml><?xml version="1.0" encoding="utf-8"?>
<Properties xmlns="http://schemas.openxmlformats.org/officeDocument/2006/custom-properties" xmlns:vt="http://schemas.openxmlformats.org/officeDocument/2006/docPropsVTypes"/>
</file>