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27/10/2026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12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H)</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G).</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G).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I).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J).</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K).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os condutores vivos e o barramento de proteção, com condutores de ligação curtos e retilíneos (6.3.5), em razão da classificação AQ2 quanto a descargas atmosféricas; no quadro de entrada, DPS classe I+II compatíveis com o nível de proteção do SPDA (NBR 5419-4) (Anexo F).</w:t>
      </w:r>
    </w:p>
    <w:p>
      <w:pPr>
        <w:pStyle w:val="ListParagraph"/>
        <w:numPr>
          <w:ilvl w:val="0"/>
          <w:numId w:val="1"/>
        </w:numPr>
        <w:spacing w:after="40"/>
      </w:pPr>
      <w:r>
        <w:rPr>
          <w:sz w:val="19"/>
          <w:szCs w:val="19"/>
          <w:rFonts w:ascii="Calibri" w:cs="Calibri" w:eastAsia="Calibri" w:hAnsi="Calibri"/>
        </w:rPr>
        <w:t xml:space="preserve">QM: DPS classe I+II (varistor), ligação 4+0 — fases e neutro ao PE: Uc 175 V, Iimp 12,5 kA (10/350 µs), In 20 kA, Up ≤ 1,5 kV; condutores de ligação de 16 mm² Cu com até 0,50 m.</w:t>
      </w:r>
    </w:p>
    <w:p>
      <w:pPr>
        <w:pStyle w:val="ListParagraph"/>
        <w:numPr>
          <w:ilvl w:val="0"/>
          <w:numId w:val="1"/>
        </w:numPr>
        <w:spacing w:after="40"/>
      </w:pPr>
      <w:r>
        <w:rPr>
          <w:sz w:val="19"/>
          <w:szCs w:val="19"/>
          <w:rFonts w:ascii="Calibri" w:cs="Calibri" w:eastAsia="Calibri" w:hAnsi="Calibri"/>
        </w:rPr>
        <w:t xml:space="preserve">QD-1: DPS classe II, ligação 4+0 — fases e neutro ao PE: Uc 175 V, In 20 kA, Imáx 40 kA (8/20 µs), Up ≤ 1,2 kV; condutores de ligação de 10 mm² Cu com até 0,50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L).</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NM 247-3.</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DPS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5419-4:2026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L</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175 V, In 20 kA, Up ≤ 1,5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Up ≤ 1,2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PROTEÇÃO CONTRA SURTOS (DPS)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documento apresenta a seleção dos dispositivos de proteção contra surtos (DPS) dos 2 quadros da obra acima identificada — classe, modos de proteção, tensão de operação contínua, correntes, nível de proteção, condutores de ligação, proteção de retaguarda e coordenação — segundo a ABNT NBR 5410:2004 (6.3.5) e a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(6.3.5, Tabelas 31 e 49, Figura 13; influências externas AQ).</w:t>
      </w:r>
    </w:p>
    <w:p>
      <w:pPr>
        <w:pStyle w:val="ListParagraph"/>
        <w:numPr>
          <w:ilvl w:val="0"/>
          <w:numId w:val="1"/>
        </w:numPr>
        <w:spacing w:after="40"/>
      </w:pPr>
      <w:r>
        <w:rPr>
          <w:sz w:val="19"/>
          <w:szCs w:val="19"/>
          <w:rFonts w:ascii="Calibri" w:cs="Calibri" w:eastAsia="Calibri" w:hAnsi="Calibri"/>
        </w:rPr>
        <w:t xml:space="preserve">ABNT NBR 5419-4:2026 — Proteção contra descargas atmosféricas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 de baixa tensão — Requisitos e métodos de ensaio.</w:t>
      </w:r>
    </w:p>
    <w:p>
      <w:pPr>
        <w:pStyle w:val="ListParagraph"/>
        <w:numPr>
          <w:ilvl w:val="0"/>
          <w:numId w:val="1"/>
        </w:numPr>
        <w:spacing w:after="40"/>
      </w:pPr>
      <w:r>
        <w:rPr>
          <w:sz w:val="19"/>
          <w:szCs w:val="19"/>
          <w:rFonts w:ascii="Calibri" w:cs="Calibri" w:eastAsia="Calibri" w:hAnsi="Calibri"/>
        </w:rPr>
        <w:t xml:space="preserve">IEC 61643-12 — Seleção e princípios de aplicação de DPS (coordenação); IEC 62305-4 — nível de proteção efetivo e distância de proteção (Anexo D).</w:t>
      </w:r>
    </w:p>
    <w:p>
      <w:pPr>
        <w:pStyle w:val="ListParagraph"/>
        <w:numPr>
          <w:ilvl w:val="0"/>
          <w:numId w:val="1"/>
        </w:numPr>
        <w:spacing w:after="40"/>
      </w:pPr>
      <w:r>
        <w:rPr>
          <w:sz w:val="19"/>
          <w:szCs w:val="19"/>
          <w:rFonts w:ascii="Calibri" w:cs="Calibri" w:eastAsia="Calibri" w:hAnsi="Calibri"/>
        </w:rPr>
        <w:t xml:space="preserve">Siemens — Dispositivos de proteção contra surtos DPS 5SD7, catálogo (edição 2021): nível de exposição F, seção dos condutores de ligação pela proteção a montante e distância de proteção.</w:t>
      </w:r>
    </w:p>
    <w:p>
      <w:pPr>
        <w:pStyle w:val="ListParagraph"/>
        <w:numPr>
          <w:ilvl w:val="0"/>
          <w:numId w:val="1"/>
        </w:numPr>
        <w:spacing w:after="40"/>
      </w:pPr>
      <w:r>
        <w:rPr>
          <w:sz w:val="19"/>
          <w:szCs w:val="19"/>
          <w:rFonts w:ascii="Calibri" w:cs="Calibri" w:eastAsia="Calibri" w:hAnsi="Calibri"/>
        </w:rPr>
        <w:t xml:space="preserve">Energisa ETU-124.2 — Especificação técnica de dispositivo de proteção contra surtos (DPS).</w:t>
      </w:r>
    </w:p>
    <w:p>
      <w:pPr>
        <w:pStyle w:val="ListParagraph"/>
        <w:numPr>
          <w:ilvl w:val="0"/>
          <w:numId w:val="1"/>
        </w:numPr>
        <w:spacing w:after="40"/>
      </w:pPr>
      <w:r>
        <w:rPr>
          <w:sz w:val="19"/>
          <w:szCs w:val="19"/>
          <w:rFonts w:ascii="Calibri" w:cs="Calibri" w:eastAsia="Calibri" w:hAnsi="Calibri"/>
        </w:rPr>
        <w:t xml:space="preserve">Catálogos e instruções dos fabricantes dos DPS escolhidos (retaguarda, Isccr, coordenação e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INSTALAÇÃO E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SPDA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NP III — Iimp ≥ 12,50 kA por modo no ponto de entrada (NBR 5419-4)</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Nível ceráunico Td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80 dias de trovoada por 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Alimentação em baixa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linha aérea — LBT = 0,20 km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Situação da linha e da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Algumas estruturas próximas ou situação desconhecida — δ = 0,50</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Obrigatoriedade do DPS (NBR 5410)</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obrigatório — edificação com SPDA (AQ3)</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dos DPS classe II</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nível de exposição F = 80 × (1,6 + 2 × 0,20 + 0,50) = 200 → In 20 kA</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Equipamentos protegidos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categoria II — equipamentos de utilização — Uw = 1,5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Suportabilidade a impulso (Tabela 31)</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115–230 / 120–240 / 127–220 V: IV 4,0 kV · III 2,5 kV · II 1,5 kV · I 0,8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Distância de proteção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Distância por oscilação lpo (IEC 62305-4, Anexo D)</w:t>
            </w:r>
          </w:p>
        </w:tc>
      </w:tr>
    </w:tbl>
    <w:p>
      <w:pPr>
        <w:spacing w:after="80" w:before="0"/>
      </w:pPr>
    </w:p>
    <w:p>
      <w:pPr>
        <w:pStyle w:val="ListParagraph"/>
        <w:numPr>
          <w:ilvl w:val="0"/>
          <w:numId w:val="1"/>
        </w:numPr>
        <w:spacing w:after="40"/>
      </w:pPr>
      <w:r>
        <w:rPr>
          <w:sz w:val="19"/>
          <w:szCs w:val="19"/>
          <w:rFonts w:ascii="Calibri" w:cs="Calibri" w:eastAsia="Calibri" w:hAnsi="Calibri"/>
        </w:rPr>
        <w:t xml:space="preserve">Obrigatoriedade (NBR 5410, influências externas): DPS obrigatório na edificação com SPDA (AQ3) e na alimentada por linha total ou parcialmente aérea em região com mais de 25 dias de trovoada por ano (AQ2); nos demais casos é recomendado para proteger os equipamentos.</w:t>
      </w:r>
    </w:p>
    <w:p>
      <w:pPr>
        <w:pStyle w:val="ListParagraph"/>
        <w:numPr>
          <w:ilvl w:val="0"/>
          <w:numId w:val="1"/>
        </w:numPr>
        <w:spacing w:after="40"/>
      </w:pPr>
      <w:r>
        <w:rPr>
          <w:sz w:val="19"/>
          <w:szCs w:val="19"/>
          <w:rFonts w:ascii="Calibri" w:cs="Calibri" w:eastAsia="Calibri" w:hAnsi="Calibri"/>
        </w:rPr>
        <w:t xml:space="preserve">Classe pelas zonas de proteção contra raios (NBR 5419-4): na fronteira ZPR 0 → 1 (entrada da linha), DPS classe I+II quando a estrutura tem SPDA e classe II sem SPDA; na fronteira ZPR 1 → 2 (quadros de distribuição), classe II; na ZPR 2 → 3 (junto ao equipamento sensível), classe III — critério também adotado pelos fabricantes (Clamper, Finder, Siemens).</w:t>
      </w:r>
    </w:p>
    <w:p>
      <w:pPr>
        <w:pStyle w:val="ListParagraph"/>
        <w:numPr>
          <w:ilvl w:val="0"/>
          <w:numId w:val="1"/>
        </w:numPr>
        <w:spacing w:after="40"/>
      </w:pPr>
      <w:r>
        <w:rPr>
          <w:sz w:val="19"/>
          <w:szCs w:val="19"/>
          <w:rFonts w:ascii="Calibri" w:cs="Calibri" w:eastAsia="Calibri" w:hAnsi="Calibri"/>
        </w:rPr>
        <w:t xml:space="preserve">Tensão de operação contínua (Tabela 49): Uc ≥ 1,1 × U0 nos modos das fases e Uc ≥ U0 no modo neutro–PE. Modos pela Figura 13: neutro aterrado no BEP — DPS só nas fases (esquema 1); TN-S — fases e neutro ao PE (esquema 2); TT a montante do DR — fases ao neutro e centelhador N–PE (esquema 3).</w:t>
      </w:r>
    </w:p>
    <w:p>
      <w:pPr>
        <w:pStyle w:val="ListParagraph"/>
        <w:numPr>
          <w:ilvl w:val="0"/>
          <w:numId w:val="1"/>
        </w:numPr>
        <w:spacing w:after="40"/>
      </w:pPr>
      <w:r>
        <w:rPr>
          <w:sz w:val="19"/>
          <w:szCs w:val="19"/>
          <w:rFonts w:ascii="Calibri" w:cs="Calibri" w:eastAsia="Calibri" w:hAnsi="Calibri"/>
        </w:rPr>
        <w:t xml:space="preserve">Corrente nominal dos DPS classe II pelo nível de exposição F = Td × (1,6 + 2 × LBT + δ), com LBT em km (até 0,5) e δ pela situação da linha: F ≤ 40 → In 5 kA; 40 &lt; F ≤ 80 → In 10 kA; F &gt; 80 → In 20 kA (catálogo Siemens); Imáx ≈ 2 × In; mínimo de 5 kA da NBR 5410.</w:t>
      </w:r>
    </w:p>
    <w:p>
      <w:pPr>
        <w:pStyle w:val="ListParagraph"/>
        <w:numPr>
          <w:ilvl w:val="0"/>
          <w:numId w:val="1"/>
        </w:numPr>
        <w:spacing w:after="40"/>
      </w:pPr>
      <w:r>
        <w:rPr>
          <w:sz w:val="19"/>
          <w:szCs w:val="19"/>
          <w:rFonts w:ascii="Calibri" w:cs="Calibri" w:eastAsia="Calibri" w:hAnsi="Calibri"/>
        </w:rPr>
        <w:t xml:space="preserve">Corrente de impulso dos DPS classe I+II: metade da corrente de pico do nível de proteção do SPDA vai para o aterramento e a outra metade se divide entre os serviços metálicos que entram na estrutura e entre os condutores de cada um — Iimp = Ip × 0,5 / (n serviços × m condutores) (NBR 5419-1, Anexo E), com mínimo de 12,5 kA por modo; na ligação n+1, o centelhador N–PE com a soma das correntes. Centelhadores: corrente subsequente interrompida Ifi ≥ curto-circuito presumido; N–PE com Ifi ≥ 100 A (NBR 5410).</w:t>
      </w:r>
    </w:p>
    <w:p>
      <w:pPr>
        <w:pStyle w:val="ListParagraph"/>
        <w:numPr>
          <w:ilvl w:val="0"/>
          <w:numId w:val="1"/>
        </w:numPr>
        <w:spacing w:after="40"/>
      </w:pPr>
      <w:r>
        <w:rPr>
          <w:sz w:val="19"/>
          <w:szCs w:val="19"/>
          <w:rFonts w:ascii="Calibri" w:cs="Calibri" w:eastAsia="Calibri" w:hAnsi="Calibri"/>
        </w:rPr>
        <w:t xml:space="preserve">Nível de proteção: Up ≤ suportabilidade da categoria II (Tabela 31); nível efetivo Up/f = Up + ΔU para varistores e Up/f = máx(Up; ΔU) para centelhadores, com ΔU ≈ 1 kV por metro de condutor de ligação para DPS classe I e desprezível para classe II ou ligação em V (IEC 62305-4).</w:t>
      </w:r>
    </w:p>
    <w:p>
      <w:pPr>
        <w:pStyle w:val="ListParagraph"/>
        <w:numPr>
          <w:ilvl w:val="0"/>
          <w:numId w:val="1"/>
        </w:numPr>
        <w:spacing w:after="40"/>
      </w:pPr>
      <w:r>
        <w:rPr>
          <w:sz w:val="19"/>
          <w:szCs w:val="19"/>
          <w:rFonts w:ascii="Calibri" w:cs="Calibri" w:eastAsia="Calibri" w:hAnsi="Calibri"/>
        </w:rPr>
        <w:t xml:space="preserve">Distância de proteção por oscilação: lpo = (Uw − Up/f) / 25 V/m; circuitos terminais mais longos que lpo pedem DPS classe III junto aos equipamentos, salvo quando o circuito tem menos de 10 m ou Up/f &lt; Uw/2 (IEC 62305-4, Anexo D).</w:t>
      </w:r>
    </w:p>
    <w:p>
      <w:pPr>
        <w:pStyle w:val="ListParagraph"/>
        <w:numPr>
          <w:ilvl w:val="0"/>
          <w:numId w:val="1"/>
        </w:numPr>
        <w:spacing w:after="40"/>
      </w:pPr>
      <w:r>
        <w:rPr>
          <w:sz w:val="19"/>
          <w:szCs w:val="19"/>
          <w:rFonts w:ascii="Calibri" w:cs="Calibri" w:eastAsia="Calibri" w:hAnsi="Calibri"/>
        </w:rPr>
        <w:t xml:space="preserve">Condutores de ligação: comprimento total até 0,5 m (condutor vivo → DPS → barramento PE), ou ligação em V (série) quando maior; seção mínima de 4 mm² Cu, ou 16 mm² Cu para DPS classe I / estrutura com SPDA (NBR 5410), e não inferior à indicada pelo fabricante para a proteção a montante, que define a corrente de curto-circuito a suportar (catálogo Siemens).</w:t>
      </w:r>
    </w:p>
    <w:p>
      <w:pPr>
        <w:pStyle w:val="ListParagraph"/>
        <w:numPr>
          <w:ilvl w:val="0"/>
          <w:numId w:val="1"/>
        </w:numPr>
        <w:spacing w:after="40"/>
      </w:pPr>
      <w:r>
        <w:rPr>
          <w:sz w:val="19"/>
          <w:szCs w:val="19"/>
          <w:rFonts w:ascii="Calibri" w:cs="Calibri" w:eastAsia="Calibri" w:hAnsi="Calibri"/>
        </w:rPr>
        <w:t xml:space="preserve">Proteção de retaguarda: a corrente máxima indicada pelo fabricante; se a proteção a montante for maior (catálogo Siemens) ou se o curto-circuito presumido passar do suportado pelo desligador interno do DPS (catálogo Clamper), fusível ou disjuntor dedicado por fase no ramal do DPS com o valor indicado — valores menores podem romper com surtos abaixo dos nominais do DPS. Isccr do DPS com a retaguarda ≥ curto-circuito presumido no quadro.</w:t>
      </w:r>
    </w:p>
    <w:p>
      <w:pPr>
        <w:pStyle w:val="ListParagraph"/>
        <w:numPr>
          <w:ilvl w:val="0"/>
          <w:numId w:val="1"/>
        </w:numPr>
        <w:spacing w:after="40"/>
      </w:pPr>
      <w:r>
        <w:rPr>
          <w:sz w:val="19"/>
          <w:szCs w:val="19"/>
          <w:rFonts w:ascii="Calibri" w:cs="Calibri" w:eastAsia="Calibri" w:hAnsi="Calibri"/>
        </w:rPr>
        <w:t xml:space="preserve">Coordenação entre estágios: produtos declarados coordenados pelo fabricante ou pelo menos 10 m de cabo entre eles (IEC 61643-12, informativo), ou indutor de desacoplamento.</w:t>
      </w:r>
    </w:p>
    <w:p>
      <w:pPr>
        <w:pStyle w:val="ListParagraph"/>
        <w:numPr>
          <w:ilvl w:val="0"/>
          <w:numId w:val="1"/>
        </w:numPr>
        <w:spacing w:after="40"/>
      </w:pPr>
      <w:r>
        <w:rPr>
          <w:sz w:val="19"/>
          <w:szCs w:val="19"/>
          <w:rFonts w:ascii="Calibri" w:cs="Calibri" w:eastAsia="Calibri" w:hAnsi="Calibri"/>
        </w:rPr>
        <w:t xml:space="preserve">DPS a jusante de DR: o DR, instantâneo ou temporizado, deve ter imunidade a correntes de surto de no mínimo 3 kA (8/20 µs); DR tipo S recomendado.</w:t>
      </w:r>
    </w:p>
    <w:p>
      <w:pPr>
        <w:pStyle w:val="ListParagraph"/>
        <w:numPr>
          <w:ilvl w:val="0"/>
          <w:numId w:val="1"/>
        </w:numPr>
        <w:spacing w:after="40"/>
      </w:pPr>
      <w:r>
        <w:rPr>
          <w:sz w:val="19"/>
          <w:szCs w:val="19"/>
          <w:rFonts w:ascii="Calibri" w:cs="Calibri" w:eastAsia="Calibri" w:hAnsi="Calibri"/>
        </w:rPr>
        <w:t xml:space="preserve">Linhas de sinal: toda linha externa de sinal (telefonia, dados, vídeo, antena) recebe DPS no ponto de entrada da edificação, ligado ao BEP (ou ao BEL mais próximo nas linhas que vão a outras edificações ou antenas); componentes de sinal na entrada suportam no mínimo 1,5 kV de impulso (NBR 5410, nota da Tabela 31). Todas as linhas e tubulações metálicas que entram na edificação são equipotencializadas no BEP, diretamente ou por DPS.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SELEÇÃO POR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F.4.1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Ponto de entrada (origem) — fronteira ZPR 0 → 1</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Tecnologia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Varistor (limitador de tensão)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 dos condutores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T — paralelo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Iimp 12,50 kA (10/350 µs) por modo; In 20 kA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1,50 kV; Up/f = 2,00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16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só de distribuição</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1,50 kV ≤ 1,5 kV (categoria II da Tabela 31) — valor típico; confirme no catálogo</w:t>
      </w:r>
    </w:p>
    <w:p>
      <w:pPr>
        <w:spacing w:after="50"/>
      </w:pPr>
      <w:r>
        <w:rPr>
          <w:color w:val="1F6E43"/>
          <w:sz w:val="19"/>
          <w:szCs w:val="19"/>
          <w:rFonts w:ascii="Calibri" w:cs="Calibri" w:eastAsia="Calibri" w:hAnsi="Calibri"/>
        </w:rPr>
        <w:t xml:space="preserve">✓ Iimp = 12,50 kA (10/350 µs) por modo ≥ 12,50 kA — NP III: 100 kA × 0,5 / (1 serviço × 4 condutores) = 12,50 kA (NBR 5419-1, Anexo E)</w:t>
      </w:r>
    </w:p>
    <w:p>
      <w:pPr>
        <w:spacing w:after="50"/>
      </w:pPr>
      <w:r>
        <w:rPr>
          <w:color w:val="1F6E43"/>
          <w:sz w:val="19"/>
          <w:szCs w:val="19"/>
          <w:rFonts w:ascii="Calibri" w:cs="Calibri" w:eastAsia="Calibri" w:hAnsi="Calibri"/>
        </w:rPr>
        <w:t xml:space="preserve">✓ In = 20 kA (8/20 µs) por modo — nível de exposição F = 80 × (1,6 + 2 × 0,20 + 0,50) = 200 → In 20 kA; DPS classe I+II: In ≥ 20 kA (faixa de catálogo); mínimo de 5 kA da NBR 5410</w:t>
      </w:r>
    </w:p>
    <w:p>
      <w:pPr>
        <w:spacing w:after="50"/>
      </w:pPr>
      <w:r>
        <w:rPr>
          <w:color w:val="1F6E43"/>
          <w:sz w:val="19"/>
          <w:szCs w:val="19"/>
          <w:rFonts w:ascii="Calibri" w:cs="Calibri" w:eastAsia="Calibri" w:hAnsi="Calibri"/>
        </w:rPr>
        <w:t xml:space="preserve">✓ Condutores de ligação: 0,50 m ≤ 0,5 m (comprimento total, condutor vivo → DPS → barramento PE)</w:t>
      </w:r>
    </w:p>
    <w:p>
      <w:pPr>
        <w:spacing w:after="50"/>
      </w:pPr>
      <w:r>
        <w:rPr>
          <w:color w:val="1F6E43"/>
          <w:sz w:val="19"/>
          <w:szCs w:val="19"/>
          <w:rFonts w:ascii="Calibri" w:cs="Calibri" w:eastAsia="Calibri" w:hAnsi="Calibri"/>
        </w:rPr>
        <w:t xml:space="preserve">✓ Seção dos condutores de ligação 16 mm² ≥ 16 mm² Cu (NBR 5410, DPS classe I / estrutura com SPDA)</w:t>
      </w:r>
    </w:p>
    <w:p>
      <w:pPr>
        <w:spacing w:after="50"/>
      </w:pPr>
      <w:r>
        <w:rPr>
          <w:color w:val="1F6E43"/>
          <w:sz w:val="19"/>
          <w:szCs w:val="19"/>
          <w:rFonts w:ascii="Calibri" w:cs="Calibri" w:eastAsia="Calibri" w:hAnsi="Calibri"/>
        </w:rPr>
        <w:t xml:space="preserve">✓ Seção pela proteção a montante de 70 A — ligação em paralelo (em T), catálogo Siemens: lado da fase 10 mm², lado do PE 16 mm²</w:t>
      </w:r>
    </w:p>
    <w:p>
      <w:pPr>
        <w:spacing w:after="50"/>
      </w:pPr>
      <w:r>
        <w:rPr>
          <w:color w:val="1F6E43"/>
          <w:sz w:val="19"/>
          <w:szCs w:val="19"/>
          <w:rFonts w:ascii="Calibri" w:cs="Calibri" w:eastAsia="Calibri" w:hAnsi="Calibri"/>
        </w:rPr>
        <w:t xml:space="preserve">✓ Nível efetivo Up/f = Up + ΔU = 1,50 + 0,50 = 2,00 kV ≤ Uw = 2,5 kV (categoria III, quadro só de distribuição)</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QM: esquema de conexão 2 (figura 13), ligação em T (paralelo); condutores de ligação de 16 mm².</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F.4.2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fronteira ZPR 1 → 2</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In 20 kA; Imáx 40 kA (8/20 µs)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1,20 kV; Up/f = 1,20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10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lpo = 12,0 m</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1,20 kV ≤ 1,5 kV (categoria II da Tabela 31) — valor típico; confirme no catálogo</w:t>
      </w:r>
    </w:p>
    <w:p>
      <w:pPr>
        <w:spacing w:after="50"/>
      </w:pPr>
      <w:r>
        <w:rPr>
          <w:color w:val="1F6E43"/>
          <w:sz w:val="19"/>
          <w:szCs w:val="19"/>
          <w:rFonts w:ascii="Calibri" w:cs="Calibri" w:eastAsia="Calibri" w:hAnsi="Calibri"/>
        </w:rPr>
        <w:t xml:space="preserve">✓ In = 20 kA (8/20 µs) por modo — nível de exposição F = 80 × (1,6 + 2 × 0,20 + 0,50) = 200 → In 20 kA; mínimo de 5 kA da NBR 5410</w:t>
      </w:r>
    </w:p>
    <w:p>
      <w:pPr>
        <w:spacing w:after="50"/>
      </w:pPr>
      <w:r>
        <w:rPr>
          <w:color w:val="1F6E43"/>
          <w:sz w:val="19"/>
          <w:szCs w:val="19"/>
          <w:rFonts w:ascii="Calibri" w:cs="Calibri" w:eastAsia="Calibri" w:hAnsi="Calibri"/>
        </w:rPr>
        <w:t xml:space="preserve">✓ Condutores de ligação: 0,50 m ≤ 0,5 m (comprimento total, condutor vivo → DPS → barramento PE)</w:t>
      </w:r>
    </w:p>
    <w:p>
      <w:pPr>
        <w:spacing w:after="50"/>
      </w:pPr>
      <w:r>
        <w:rPr>
          <w:color w:val="1F6E43"/>
          <w:sz w:val="19"/>
          <w:szCs w:val="19"/>
          <w:rFonts w:ascii="Calibri" w:cs="Calibri" w:eastAsia="Calibri" w:hAnsi="Calibri"/>
        </w:rPr>
        <w:t xml:space="preserve">✓ Seção dos condutores de ligação 10 mm² ≥ 4 mm² Cu (NBR 5410)</w:t>
      </w:r>
    </w:p>
    <w:p>
      <w:pPr>
        <w:spacing w:after="50"/>
      </w:pPr>
      <w:r>
        <w:rPr>
          <w:color w:val="1F6E43"/>
          <w:sz w:val="19"/>
          <w:szCs w:val="19"/>
          <w:rFonts w:ascii="Calibri" w:cs="Calibri" w:eastAsia="Calibri" w:hAnsi="Calibri"/>
        </w:rPr>
        <w:t xml:space="preserve">✓ Seção pela proteção a montante de 63 A — ligação em paralelo (em T), catálogo Siemens: lado da fase 10 mm², lado do PE 10 mm²</w:t>
      </w:r>
    </w:p>
    <w:p>
      <w:pPr>
        <w:spacing w:after="50"/>
      </w:pPr>
      <w:r>
        <w:rPr>
          <w:color w:val="1F6E43"/>
          <w:sz w:val="19"/>
          <w:szCs w:val="19"/>
          <w:rFonts w:ascii="Calibri" w:cs="Calibri" w:eastAsia="Calibri" w:hAnsi="Calibri"/>
        </w:rPr>
        <w:t xml:space="preserve">✓ Nível efetivo Up/f = Up + ΔU = 1,20 + 0,00 = 1,20 kV ≤ Uw = 1,5 kV (categoria II)</w:t>
      </w:r>
    </w:p>
    <w:p>
      <w:pPr>
        <w:spacing w:after="50"/>
      </w:pPr>
      <w:r>
        <w:rPr>
          <w:color w:val="1F6E43"/>
          <w:sz w:val="19"/>
          <w:szCs w:val="19"/>
          <w:rFonts w:ascii="Calibri" w:cs="Calibri" w:eastAsia="Calibri" w:hAnsi="Calibri"/>
        </w:rPr>
        <w:t xml:space="preserve">✓ Distância de proteção por oscilação lpo = (Uw − Up/f) / 25 V/m = 12,0 m; circuitos 1, 2, 3, 4, 5, 6, 7, 8, 10, 11, 12, 13 mais longos: equipamentos sensíveis protegidos pelos 2 DPS classe III previstos</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spacing w:after="50"/>
      </w:pPr>
      <w:r>
        <w:rPr>
          <w:color w:val="1F6E43"/>
          <w:sz w:val="19"/>
          <w:szCs w:val="19"/>
          <w:rFonts w:ascii="Calibri" w:cs="Calibri" w:eastAsia="Calibri" w:hAnsi="Calibri"/>
        </w:rPr>
        <w:t xml:space="preserve">✓ Coordenação com o DPS do QM: 12,0 m de cabo entre os estágios (≥ 10 m)</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QD-1: esquema de conexão 2 (figura 13), ligação em T (paralelo); condutores de ligação de 10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ZONAS DE PROTEÇÃO, CLASSE III E COORDENAÇÃO</w:t>
      </w:r>
    </w:p>
    <w:p>
      <w:pPr>
        <w:keepNext/>
        <w:spacing w:before="60" w:after="20"/>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9432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Zonas de proteção contra raios (NBR 5419-4) e DPS em cascata: entrada na fronteira ZPR 0 → 1, quadros na ZPR 1 → 2 e DPS classe III junto aos equipamentos sensíveis (ZPR 2 → 3).</w:t>
      </w:r>
    </w:p>
    <w:p>
      <w:pPr>
        <w:spacing w:after="100" w:before="0"/>
      </w:pPr>
      <w:r>
        <w:rPr>
          <w:sz w:val="20"/>
          <w:szCs w:val="20"/>
          <w:rFonts w:ascii="Calibri" w:cs="Calibri" w:eastAsia="Calibri" w:hAnsi="Calibri"/>
        </w:rPr>
        <w:t xml:space="preserve">Previstos 2 DPS classe III (Uc 175 V) junto aos equipamentos sensíveis, coordenados com os DPS do quadro que os alimenta. Circuitos além da distância de proteção do DPS do quadro: QD-1 (circuitos 1, 2, 3, 4, 5, 6, 7, 8, 10, 11, 12, 13; distância de proteção 12,0 m) — os equipamentos sensíveis alimentados por eles devem receber DPS classe III próprio.</w:t>
      </w:r>
    </w:p>
    <w:p>
      <w:pPr>
        <w:spacing w:after="100" w:before="0"/>
      </w:pPr>
      <w:r>
        <w:rPr>
          <w:sz w:val="20"/>
          <w:szCs w:val="20"/>
          <w:rFonts w:ascii="Calibri" w:cs="Calibri" w:eastAsia="Calibri" w:hAnsi="Calibri"/>
        </w:rPr>
        <w:t xml:space="preserve">Os DPS em cascata (entrada → quadros → equipamentos) devem ser do mesmo fabricante ou declarados coordenados por ele; na falta dessa declaração, recomenda-se pelo menos 10 m de cabo entre os estágios (IEC 61643-12, informativo) ou indutor de desacoplamento, observada a instrução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LINHAS DE SINAL</w:t>
      </w:r>
    </w:p>
    <w:p>
      <w:pPr>
        <w:spacing w:after="100" w:before="0"/>
      </w:pPr>
      <w:r>
        <w:rPr>
          <w:sz w:val="20"/>
          <w:szCs w:val="20"/>
          <w:rFonts w:ascii="Calibri" w:cs="Calibri" w:eastAsia="Calibri" w:hAnsi="Calibri"/>
        </w:rPr>
        <w:t xml:space="preserve">Não foram informadas linhas externas de sinal. Toda linha que vier a entrar na edificação (telefonia, dados, vídeo, antena) deve receber DPS no ponto de entrada, ligado ao BEP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FORMAS DE LIGAÇÃO DOS DPS</w:t>
      </w:r>
    </w:p>
    <w:p>
      <w:pPr>
        <w:spacing w:after="100" w:before="0"/>
      </w:pPr>
      <w:r>
        <w:rPr>
          <w:sz w:val="20"/>
          <w:szCs w:val="20"/>
          <w:rFonts w:ascii="Calibri" w:cs="Calibri" w:eastAsia="Calibri" w:hAnsi="Calibri"/>
        </w:rPr>
        <w:t xml:space="preserve">A NBR 5410 (Figura 13) define três esquemas de conexão conforme o neutro e o esquema de aterramento; os condutores de ligação podem ser derivados do barramento (ligação em T, paralelo) ou passar pelos bornes do DPS (ligação em V, série). Os desenhos abaixo resumem as formas de ligar; o esquema adotado em cada quadro está na seção de seleção.</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1 — neutro aterrado no BEP. TN-C-S no quadro de entrada (PEN separado no BEP): DPS só nas fases, ligados ao BEP.</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2 — n+0 (fases e neutro ao PE). TN-S e TT a jusante do DR: um DPS por condutor vivo, todos ao PE.</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3 — n+1 (fases ao neutro e centelhador N–PE). TT a montante do DR (3+1): o centelhador N–PE recebe a soma das correntes.</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T (paralelo) com retaguarda F2. O DPS fica num ramal com fusível próprio; a + b ≤ 0,5 m; a atuação de F2 tira só o DPS de serviço — use a sinalização remota.</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V (série). O condutor entra e sai pelos bornes do DPS: ΔU desprezível; protegido pelo F1 dentro do limite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INSTALAÇÃO</w:t>
      </w:r>
    </w:p>
    <w:p>
      <w:pPr>
        <w:pStyle w:val="ListParagraph"/>
        <w:numPr>
          <w:ilvl w:val="0"/>
          <w:numId w:val="1"/>
        </w:numPr>
        <w:spacing w:after="40"/>
      </w:pPr>
      <w:r>
        <w:rPr>
          <w:sz w:val="19"/>
          <w:szCs w:val="19"/>
          <w:rFonts w:ascii="Calibri" w:cs="Calibri" w:eastAsia="Calibri" w:hAnsi="Calibri"/>
        </w:rPr>
        <w:t xml:space="preserve">Instalar os DPS junto ao barramento de proteção do quadro, com condutores curtos, retilíneos e sem laços; preferir a ligação em V (entrada e saída nos mesmos bornes) quando o comprimento passar de 0,5 m.</w:t>
      </w:r>
    </w:p>
    <w:p>
      <w:pPr>
        <w:pStyle w:val="ListParagraph"/>
        <w:numPr>
          <w:ilvl w:val="0"/>
          <w:numId w:val="1"/>
        </w:numPr>
        <w:spacing w:after="40"/>
      </w:pPr>
      <w:r>
        <w:rPr>
          <w:sz w:val="19"/>
          <w:szCs w:val="19"/>
          <w:rFonts w:ascii="Calibri" w:cs="Calibri" w:eastAsia="Calibri" w:hAnsi="Calibri"/>
        </w:rPr>
        <w:t xml:space="preserve">Proteger cada conjunto de DPS pela retaguarda indicada pelo fabricante (de preferência fusível gL/gG), com indicação de fim de vida visível; na ligação em paralelo, ligar o contato de sinalização remota, pois a atuação da retaguarda tira o DPS de serviço sem desligar a instalação.</w:t>
      </w:r>
    </w:p>
    <w:p>
      <w:pPr>
        <w:pStyle w:val="ListParagraph"/>
        <w:numPr>
          <w:ilvl w:val="0"/>
          <w:numId w:val="1"/>
        </w:numPr>
        <w:spacing w:after="40"/>
      </w:pPr>
      <w:r>
        <w:rPr>
          <w:sz w:val="19"/>
          <w:szCs w:val="19"/>
          <w:rFonts w:ascii="Calibri" w:cs="Calibri" w:eastAsia="Calibri" w:hAnsi="Calibri"/>
        </w:rPr>
        <w:t xml:space="preserve">Interligar o barramento PE dos quadros ao BEP; com SPDA, ligar o DPS de entrada ao BEP pelo caminho mais curto. Equipotencializar no BEP todas as linhas e tubulações metálicas que entram na edificação.</w:t>
      </w:r>
    </w:p>
    <w:p>
      <w:pPr>
        <w:pStyle w:val="ListParagraph"/>
        <w:numPr>
          <w:ilvl w:val="0"/>
          <w:numId w:val="1"/>
        </w:numPr>
        <w:spacing w:after="40"/>
      </w:pPr>
      <w:r>
        <w:rPr>
          <w:sz w:val="19"/>
          <w:szCs w:val="19"/>
          <w:rFonts w:ascii="Calibri" w:cs="Calibri" w:eastAsia="Calibri" w:hAnsi="Calibri"/>
        </w:rPr>
        <w:t xml:space="preserve">Inspecionar os DPS periodicamente e após descargas atmosféricas na região, substituindo os módulos sinalizados.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F.9. CONCLUSÃO</w:t>
      </w:r>
    </w:p>
    <w:p>
      <w:pPr>
        <w:spacing w:after="100" w:before="0"/>
      </w:pPr>
      <w:r>
        <w:rPr>
          <w:sz w:val="20"/>
          <w:szCs w:val="20"/>
          <w:rFonts w:ascii="Calibri" w:cs="Calibri" w:eastAsia="Calibri" w:hAnsi="Calibri"/>
        </w:rPr>
        <w:t xml:space="preserve">Os DPS especificados para os 2 quadros atendem às verificações de tensão, corrente, nível de proteção e instalação da ABNT NBR 5410 e da ABNT NBR 5419-4.</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G.3.1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H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H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H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J.3.1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J.3.2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J.3.3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J.9.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K.4.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K.7.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L</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unipolar (varistor) — Uc 175 V, Iimp 12,5 kA (10/350 µs), In 20 kA, Up ≤ 1,5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16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unipolar — Uc 175 V, In 20 kA, Imáx 40 kA (8/20 µs), Up ≤ 1,2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10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junto ao equipamento sensível — Uc 175 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27/10/2026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ruyl-ineqvzjeiurj59m.png"/><Relationship Id="rId9" Type="http://schemas.openxmlformats.org/officeDocument/2006/relationships/image" Target="media/xafkwfzbvuxpsat-w8v0a.png"/><Relationship Id="rId10" Type="http://schemas.openxmlformats.org/officeDocument/2006/relationships/image" Target="media/jbvson8czcfel7lpijq3w.png"/><Relationship Id="rId11" Type="http://schemas.openxmlformats.org/officeDocument/2006/relationships/image" Target="media/tddorug3dpkmmylgcorme.png"/><Relationship Id="rId12" Type="http://schemas.openxmlformats.org/officeDocument/2006/relationships/image" Target="media/efqzsav5oft7nh3xfew92.png"/><Relationship Id="rId13" Type="http://schemas.openxmlformats.org/officeDocument/2006/relationships/image" Target="media/whss2om1pvcpqr405lg4v.png"/><Relationship Id="rId14" Type="http://schemas.openxmlformats.org/officeDocument/2006/relationships/image" Target="media/rxnejob0i392pbkbruo4s.png"/><Relationship Id="rId15" Type="http://schemas.openxmlformats.org/officeDocument/2006/relationships/image" Target="media/vbj5ee5l4aiks9qqbdnm3.png"/><Relationship Id="rId16" Type="http://schemas.openxmlformats.org/officeDocument/2006/relationships/image" Target="media/0msrutalqq7mc7r4i56wi.png"/><Relationship Id="rId17" Type="http://schemas.openxmlformats.org/officeDocument/2006/relationships/image" Target="media/yuqkx2ayw7l3ofymw7gho.png"/><Relationship Id="rId18" Type="http://schemas.openxmlformats.org/officeDocument/2006/relationships/image" Target="media/mxav_u_dq4fd69h_hw5bg.png"/><Relationship Id="rId19" Type="http://schemas.openxmlformats.org/officeDocument/2006/relationships/image" Target="media/jkrky9binjnainc3pexs5.png"/><Relationship Id="rId20" Type="http://schemas.openxmlformats.org/officeDocument/2006/relationships/image" Target="media/px1zmg1wouanzjk9t8-ps.png"/><Relationship Id="rId21" Type="http://schemas.openxmlformats.org/officeDocument/2006/relationships/image" Target="media/yb16iwv0cdnvohyk_xtz9.png"/><Relationship Id="rId22" Type="http://schemas.openxmlformats.org/officeDocument/2006/relationships/image" Target="media/lr_u20kmfcwkesgl1s7gq.png"/><Relationship Id="rId23" Type="http://schemas.openxmlformats.org/officeDocument/2006/relationships/image" Target="media/vqrqklwf4c4m8ocurebhz.png"/><Relationship Id="rId24" Type="http://schemas.openxmlformats.org/officeDocument/2006/relationships/image" Target="media/ekiogfc8om2sc8y25z-uu.png"/><Relationship Id="rId25" Type="http://schemas.openxmlformats.org/officeDocument/2006/relationships/image" Target="media/pagognm9jfo-4ej6hkcdc.png"/><Relationship Id="rId26" Type="http://schemas.openxmlformats.org/officeDocument/2006/relationships/image" Target="media/_oxwtonwc4cw82mrixtmv.png"/><Relationship Id="rId27" Type="http://schemas.openxmlformats.org/officeDocument/2006/relationships/image" Target="media/uu5qtvmpml31dbjbvdok-.png"/><Relationship Id="rId28" Type="http://schemas.openxmlformats.org/officeDocument/2006/relationships/image" Target="media/mgy2124qienuc3eitz-fd.png"/><Relationship Id="rId29" Type="http://schemas.openxmlformats.org/officeDocument/2006/relationships/image" Target="media/rxcq4r1seo3tq-fx32nt2.png"/><Relationship Id="rId30" Type="http://schemas.openxmlformats.org/officeDocument/2006/relationships/image" Target="media/egyts3qllvsa5ejq4vaia.png"/><Relationship Id="rId31" Type="http://schemas.openxmlformats.org/officeDocument/2006/relationships/image" Target="media/r5yp4i1e8udeqdihnqyf6.png"/><Relationship Id="rId32" Type="http://schemas.openxmlformats.org/officeDocument/2006/relationships/image" Target="media/xsvod-7o7b4_ysrzkdfaf.png"/><Relationship Id="rId33" Type="http://schemas.openxmlformats.org/officeDocument/2006/relationships/image" Target="media/gxglxfb8-lfh0yz7yq1fm.png"/><Relationship Id="rId34" Type="http://schemas.openxmlformats.org/officeDocument/2006/relationships/image" Target="media/rfgt_eiqk899x1iaj60sy.png"/><Relationship Id="rId35" Type="http://schemas.openxmlformats.org/officeDocument/2006/relationships/image" Target="media/7fyn1aghr9rn1nnkm9dqz.png"/><Relationship Id="rId36" Type="http://schemas.openxmlformats.org/officeDocument/2006/relationships/image" Target="media/1ot_v5gxtlrkw0ypo1fd5.png"/><Relationship Id="rId37" Type="http://schemas.openxmlformats.org/officeDocument/2006/relationships/image" Target="media/xc2xka2_veut2hgh3v2ds.png"/><Relationship Id="rId38" Type="http://schemas.openxmlformats.org/officeDocument/2006/relationships/image" Target="media/g2vsehw97tkyr2zvrmhzo.png"/><Relationship Id="rId39" Type="http://schemas.openxmlformats.org/officeDocument/2006/relationships/image" Target="media/dfymf2zr3yldzqkocnood.png"/><Relationship Id="rId40" Type="http://schemas.openxmlformats.org/officeDocument/2006/relationships/image" Target="media/fgygj_2ro7kbcexion1o5.png"/><Relationship Id="rId41" Type="http://schemas.openxmlformats.org/officeDocument/2006/relationships/image" Target="media/2wblrpvyxgpgrl2zvlwmg.png"/><Relationship Id="rId42" Type="http://schemas.openxmlformats.org/officeDocument/2006/relationships/image" Target="media/3uukqjsudegnsepm2stio.png"/><Relationship Id="rId43" Type="http://schemas.openxmlformats.org/officeDocument/2006/relationships/image" Target="media/2rbpgjfi9f6ao-fvk8ggu.png"/><Relationship Id="rId44" Type="http://schemas.openxmlformats.org/officeDocument/2006/relationships/image" Target="media/8pndg9dtipyyctgotlk4e.png"/><Relationship Id="rId45" Type="http://schemas.openxmlformats.org/officeDocument/2006/relationships/image" Target="media/b-mrk-jasn2ydatntjnpa.png"/><Relationship Id="rId46" Type="http://schemas.openxmlformats.org/officeDocument/2006/relationships/image" Target="media/eqafprubvvglufr4dwrom.png"/><Relationship Id="rId47" Type="http://schemas.openxmlformats.org/officeDocument/2006/relationships/image" Target="media/o7gazsfmfc4vvw8vpqxvy.png"/><Relationship Id="rId48" Type="http://schemas.openxmlformats.org/officeDocument/2006/relationships/image" Target="media/3z0d9t7mpdpg_mda4pujn.png"/><Relationship Id="rId49" Type="http://schemas.openxmlformats.org/officeDocument/2006/relationships/image" Target="media/ep9fop3aj-qfakwr1x0v5.png"/><Relationship Id="rId50" Type="http://schemas.openxmlformats.org/officeDocument/2006/relationships/image" Target="media/9y7k4lsnr_2njzwdzsbq4.png"/><Relationship Id="rId51" Type="http://schemas.openxmlformats.org/officeDocument/2006/relationships/image" Target="media/2psxoo_pkphyyzzx-5vve.png"/><Relationship Id="rId52" Type="http://schemas.openxmlformats.org/officeDocument/2006/relationships/image" Target="media/7yiyts6oaimcymqs93b6l.png"/><Relationship Id="rId53" Type="http://schemas.openxmlformats.org/officeDocument/2006/relationships/image" Target="media/xfga0-dqy4iyecwjsjfgr.png"/><Relationship Id="rId54" Type="http://schemas.openxmlformats.org/officeDocument/2006/relationships/image" Target="media/prc7tjp3huzrqvfz4kgva.png"/><Relationship Id="rId55" Type="http://schemas.openxmlformats.org/officeDocument/2006/relationships/image" Target="media/fy9e_kthrpodxzccj7q_7.png"/><Relationship Id="rId56" Type="http://schemas.openxmlformats.org/officeDocument/2006/relationships/image" Target="media/15b039roqevdqyggzlxei.png"/><Relationship Id="rId57" Type="http://schemas.openxmlformats.org/officeDocument/2006/relationships/image" Target="media/j8pnjfcmcj5tjjvneqbqj.png"/><Relationship Id="rId58" Type="http://schemas.openxmlformats.org/officeDocument/2006/relationships/image" Target="media/uzz0aboqyfvrlmdcjuhqb.png"/><Relationship Id="rId59" Type="http://schemas.openxmlformats.org/officeDocument/2006/relationships/image" Target="media/1nrgruy2pvsp7fswnkhu0.png"/><Relationship Id="rId60" Type="http://schemas.openxmlformats.org/officeDocument/2006/relationships/image" Target="media/u6jhmxpnw89aovrajx3gs.png"/><Relationship Id="rId61" Type="http://schemas.openxmlformats.org/officeDocument/2006/relationships/image" Target="media/m8le8guk-fkfaaznhwnyj.png"/><Relationship Id="rId62" Type="http://schemas.openxmlformats.org/officeDocument/2006/relationships/image" Target="media/pmcw2ri63gkowu5vgejec.png"/><Relationship Id="rId63" Type="http://schemas.openxmlformats.org/officeDocument/2006/relationships/image" Target="media/tradamjegajmtzfa-rzj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2026-10-27T15:06:39.260Z</dcterms:created>
  <dcterms:modified xsi:type="dcterms:W3CDTF">2026-10-27T15:06:39.260Z</dcterms:modified>
</cp:coreProperties>
</file>

<file path=docProps/custom.xml><?xml version="1.0" encoding="utf-8"?>
<Properties xmlns="http://schemas.openxmlformats.org/officeDocument/2006/custom-properties" xmlns:vt="http://schemas.openxmlformats.org/officeDocument/2006/docPropsVTypes"/>
</file>