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ABNT NBR 5419:2026 — PROTEÇÃO CONTRA DESCARGAS ATMOSFÉRICAS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ANÁLISE DE RISCO E PROJETO DO SPDA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Residência unifamiliar térrea — análise de risco (Parte 2), sistema de proteção contra descargas atmosféricas (Parte 3) e proteção contra surtos (Parte 4)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PROPRIETÁRIO / CLIENTE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Proprietário (exemplo)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27/10/2026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memorial apresenta a análise de risco da estrutura "Residência unifamiliar térrea" frente às descargas atmosféricas, segundo a ABNT NBR 5419-2:2026, a definição das medidas de proteção e o projeto do sistema de proteção contra descargas atmosféricas (SPDA) com nível de proteção III, segundo a ABNT NBR 5419-3:2026, além da proteção contra surtos na entrada das linhas (ABNT NBR 5419-4:2026).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5419-1:2026 — Proteção contra descargas atmosféricas — Parte 1: Princípios gerais.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5419-2:2026 — Parte 2: Análise de risco (densidade de descargas NG no Anexo F).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5419-3:2026 — Parte 3: Danos físicos a estruturas e perigos à vida.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5419-4:2026 — Parte 4: Sistemas elétricos e eletrônicos internos na estrutura.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13571 — Haste de aterramento aço-cobreada e acessórios.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7117-1:2020 — Medição da resistividade e determinação da estratificação do solo.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CARACTERIZAÇÃO DA ESTRUTURA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98"/>
        <w:gridCol w:w="5658"/>
      </w:tblGrid>
      <w:tr>
        <w:trPr>
          <w:tblHeader/>
        </w:trPr>
        <w:tc>
          <w:tcPr>
            <w:tcW w:type="dxa" w:w="409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565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Valor adotado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Dimensões (L × W × H)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15,00 × 8,00 × 5,50 m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Localização relativa (CD)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Cercada por objetos da mesma altura ou mais baixos — CD = 0,5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Densidade de descargas NG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30 descargas/km²/ano — ABNT NBR 5419-2:2026, Anexo F — Campo Grande/MS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Ocupação (perda LF)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Residencial e demais — LF = 0,01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Piso / solo junto às descidas (rt)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Mármore ou cerâmica — rt = 0,001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Providências contra incêndio (rp)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Extintores, hidrantes, alarme manual, compartimentação ou rotas de fuga — rp = 0,5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Risco de incêndio ou explosão (rf)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Incêndio — risco normal — rf = 0,01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Perigo especial (hz)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Sem perigo especial — hz = 1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Pessoas na zona / total e permanência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100 % · 8.760 h/ano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Falha de sistemas internos põe a vida em risco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Não — falhas não põem a vida em risco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Patrimônio cultural (R3)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Sistemas internos críticos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Não — frequência tolerável de 1 por ano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1366"/>
        <w:gridCol w:w="780"/>
        <w:gridCol w:w="1366"/>
        <w:gridCol w:w="1366"/>
        <w:gridCol w:w="2537"/>
        <w:gridCol w:w="780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Linha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Instalação (CI)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LL (m)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Ambiente (CE)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Tipo (CT)</w:t>
            </w:r>
          </w:p>
        </w:tc>
        <w:tc>
          <w:tcPr>
            <w:tcW w:type="dxa" w:w="253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Blindagem (CLD / CLI)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UW (kV)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Linha de energia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Aérea (1)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1.000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Urbano (0,1)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Baixa tensão, telecomunicações ou sinal (1)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Energia com neutro multiaterrado (1 / 0,2)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Linha de telecomunicações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Aérea (1)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1.000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Urbano (0,1)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Baixa tensão, telecomunicações ou sinal (1)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Aérea sem blindagem (1 / 1)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ANÁLISE DE RISCO (NBR 5419-2:2026)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4.1 Áreas de exposição e número anual de eventos perigosos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AD = L × W + 2 × (3H) × (L + W) + π × (3H)² = 1.734 m²;   ND = NG × AD × CD × 10⁻⁶ = 30 × 1.734 × 0,5 × 10⁻⁶ = 0,0260 /ano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AM = 2 × 500 × (L + W) + π × 500² = 808.398 m²;   NM = NG × AM × 10⁻⁶ = 24,252 /ano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Linha de energia: AL = 40 × LL = 40.000 m²; NL = NG × AL × CI × CE × CT × 10⁻⁶ = 0,1200 /ano; AI = 4 000 × LL; NI = 12,000 /ano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Linha de telecomunicações: AL = 40 × LL = 40.000 m²; NL = NG × AL × CI × CE × CT × 10⁻⁶ = 0,1200 /ano; AI = 4 000 × LL; NI = 12,000 /ano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4.2 Perdas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fração de exposição = (nz / nt) × (tz / 8 760) = 1,000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LA = LU = rt × LT × fração = 0,001 × 10⁻² × 1,000 = 1,000 × 10⁻⁵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LB = LV = rp × rf × hz × LF × fração = 0,5 × 0,01 × 1 × 0,01 × 1,000 = 5,000 × 10⁻⁵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4.3 Componentes de risco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4098"/>
        <w:gridCol w:w="1561"/>
        <w:gridCol w:w="1659"/>
        <w:gridCol w:w="1659"/>
      </w:tblGrid>
      <w:tr>
        <w:trPr>
          <w:tblHeader/>
        </w:trPr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Comp.</w:t>
            </w:r>
          </w:p>
        </w:tc>
        <w:tc>
          <w:tcPr>
            <w:tcW w:type="dxa" w:w="409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Origem do dano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Expressão</w:t>
            </w:r>
          </w:p>
        </w:tc>
        <w:tc>
          <w:tcPr>
            <w:tcW w:type="dxa" w:w="165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Sem medidas</w:t>
            </w:r>
          </w:p>
        </w:tc>
        <w:tc>
          <w:tcPr>
            <w:tcW w:type="dxa" w:w="165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Com as medidas adotadas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RA</w:t>
            </w:r>
          </w:p>
        </w:tc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Ferimentos por tensões de toque e passo (descarga na estrutura)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ND × PA × LA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0,026 × 10⁻⁵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0,003 × 10⁻⁵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RB</w:t>
            </w:r>
          </w:p>
        </w:tc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Danos físicos (descarga na estrutura)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ND × PB × LB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0,130 × 10⁻⁵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0,013 × 10⁻⁵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RU</w:t>
            </w:r>
          </w:p>
        </w:tc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Ferimentos (descarga na linha)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NL × PU × LU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0,240 × 10⁻⁵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0,012 × 10⁻⁵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RV</w:t>
            </w:r>
          </w:p>
        </w:tc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Danos físicos (descarga na linha)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NL × PV × LV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1,200 × 10⁻⁵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0,060 × 10⁻⁵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R1</w:t>
            </w:r>
          </w:p>
        </w:tc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Risco de perda de vida humana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soma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1,596 × 10⁻⁵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0,088 × 10⁻⁵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Probabilidades com as medidas adotadas: PB = 0,1 (NP III); PTA = 1; PEB = PSPD = 0,05 (DPS compatíveis com NP III–IV); PTU = 1. Linha de energia: PLD = 1, PLI = 0,3, PU = 0,0500, PV = 0,0500, PW = 0,0500, PZ = 0,0030; Linha de telecomunicações: PLD = 1, PLI = 0,2, PU = 0,0500, PV = 0,0500, PW = 0,0500, PZ = 0,0100.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4.4 Combinações de nível de proteção e DPS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1"/>
        <w:gridCol w:w="1854"/>
        <w:gridCol w:w="1854"/>
        <w:gridCol w:w="1854"/>
        <w:gridCol w:w="1854"/>
      </w:tblGrid>
      <w:tr>
        <w:trPr>
          <w:tblHeader/>
        </w:trPr>
        <w:tc>
          <w:tcPr>
            <w:tcW w:type="dxa" w:w="234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Nível de proteção</w:t>
            </w:r>
          </w:p>
        </w:tc>
        <w:tc>
          <w:tcPr>
            <w:tcW w:type="dxa" w:w="185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Sem DPS coordenados</w:t>
            </w:r>
          </w:p>
        </w:tc>
        <w:tc>
          <w:tcPr>
            <w:tcW w:type="dxa" w:w="185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DPS NP III–IV</w:t>
            </w:r>
          </w:p>
        </w:tc>
        <w:tc>
          <w:tcPr>
            <w:tcW w:type="dxa" w:w="185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DPS NP II</w:t>
            </w:r>
          </w:p>
        </w:tc>
        <w:tc>
          <w:tcPr>
            <w:tcW w:type="dxa" w:w="185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DPS NP I</w:t>
            </w:r>
          </w:p>
        </w:tc>
      </w:tr>
      <w:tr>
        <w:trPr>
          <w:cantSplit/>
        </w:trPr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Sem SPDA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1,596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0,228 ✓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0,185 ✓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0,170 ✓</w:t>
            </w:r>
          </w:p>
        </w:tc>
      </w:tr>
      <w:tr>
        <w:trPr>
          <w:cantSplit/>
        </w:trPr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NP IV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0,103 ✓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0,060 ✓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0,046 ✓</w:t>
            </w:r>
          </w:p>
        </w:tc>
      </w:tr>
      <w:tr>
        <w:trPr>
          <w:cantSplit/>
        </w:trPr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NP III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0,088 ✓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0,044 ✓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0,030 ✓</w:t>
            </w:r>
          </w:p>
        </w:tc>
      </w:tr>
      <w:tr>
        <w:trPr>
          <w:cantSplit/>
        </w:trPr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NP II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0,037 ✓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0,022 ✓</w:t>
            </w:r>
          </w:p>
        </w:tc>
      </w:tr>
      <w:tr>
        <w:trPr>
          <w:cantSplit/>
        </w:trPr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NP I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0,018 ✓</w:t>
            </w:r>
          </w:p>
        </w:tc>
      </w:tr>
    </w:tbl>
    <w:p>
      <w:pPr>
        <w:spacing w:after="80" w:before="0"/>
      </w:pP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Valores de R1 em 10⁻⁵ (✓ atende ao risco tolerável). Com SPDA, os DPS da entrada devem ser compatíveis com o mesmo nível de proteção (equipotencialização para descargas atmosféricas).</w:t>
      </w:r>
    </w:p>
    <w:p>
      <w:pPr>
        <w:keepNext/>
        <w:spacing w:before="60" w:after="20"/>
      </w:pPr>
      <w:r>
        <w:drawing>
          <wp:inline distT="0" distB="0" distL="0" distR="0">
            <wp:extent cx="4762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Risco R1 e frequência de danos F antes e depois das medidas de proteção, comparados aos valores toleráveis.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4.5 Verificação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R1 = 0,088 × 10⁻⁵ ≤ RT = 1 × 10⁻⁵ (perda de vida humana)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Frequência de danos F = FC + FM + FW + FZ = 0,5570 /ano ≤ FT = 1,0 /ano (sistemas internos)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Sem SPDA, o risco R1 atende ao tolerável com dPS compatíveis com NP III–IV na entrada das linhas. O SPDA NP III é adotado por opção do projeto (proteção do patrimônio ou exigência de outra regulamentação).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PROJETO DO SPDA (NBR 5419-3:2026)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5.1 Nível de proteção e parâmetros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66"/>
        <w:gridCol w:w="4390"/>
      </w:tblGrid>
      <w:tr>
        <w:trPr>
          <w:tblHeader/>
        </w:trPr>
        <w:tc>
          <w:tcPr>
            <w:tcW w:type="dxa" w:w="5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4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NP III</w:t>
            </w:r>
          </w:p>
        </w:tc>
      </w:tr>
      <w:tr>
        <w:trPr>
          <w:cantSplit/>
        </w:trPr>
        <w:tc>
          <w:tcPr>
            <w:tcW w:type="dxa" w:w="5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Raio da esfera rolante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45 m</w:t>
            </w:r>
          </w:p>
        </w:tc>
      </w:tr>
      <w:tr>
        <w:trPr>
          <w:cantSplit/>
        </w:trPr>
        <w:tc>
          <w:tcPr>
            <w:tcW w:type="dxa" w:w="5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Máximo afastamento da malha de captação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15 × 15 m</w:t>
            </w:r>
          </w:p>
        </w:tc>
      </w:tr>
      <w:tr>
        <w:trPr>
          <w:cantSplit/>
        </w:trPr>
        <w:tc>
          <w:tcPr>
            <w:tcW w:type="dxa" w:w="5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Ângulo de proteção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68,6° para 5,5 m de altura</w:t>
            </w:r>
          </w:p>
        </w:tc>
      </w:tr>
      <w:tr>
        <w:trPr>
          <w:cantSplit/>
        </w:trPr>
        <w:tc>
          <w:tcPr>
            <w:tcW w:type="dxa" w:w="5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Distância típica entre descidas e entre anéis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15 m (tolerância de 20 %)</w:t>
            </w:r>
          </w:p>
        </w:tc>
      </w:tr>
      <w:tr>
        <w:trPr>
          <w:cantSplit/>
        </w:trPr>
        <w:tc>
          <w:tcPr>
            <w:tcW w:type="dxa" w:w="5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Coeficiente ki (distância de segurança)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0,04</w:t>
            </w:r>
          </w:p>
        </w:tc>
      </w:tr>
      <w:tr>
        <w:trPr>
          <w:cantSplit/>
        </w:trPr>
        <w:tc>
          <w:tcPr>
            <w:tcW w:type="dxa" w:w="5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Corrente de pico de referência</w:t>
            </w:r>
          </w:p>
        </w:tc>
        <w:tc>
          <w:tcPr>
            <w:tcW w:type="dxa" w:w="4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100 kA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5.2 Subsistema de captação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Método das malhas: condutores no perímetro da cobertura e 0 + 0 condutores internos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malha resultante: 15,00 × 8,00 m ≤ 15 × 15 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comprimento da captação: perímetro 46,0 m + internos 0,0 m = 46 m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Os condutores de captação seguem as bordas, cumeeiras e saliências da cobertura; elementos metálicos da cobertura (rufos, calhas, antenas, equipamentos) são interligados à captação ou protegidos por captores próprios, respeitada a distância de segurança.</w:t>
      </w:r>
    </w:p>
    <w:p>
      <w:pPr>
        <w:keepNext/>
        <w:spacing w:before="60" w:after="20"/>
      </w:pPr>
      <w:r>
        <w:drawing>
          <wp:inline distT="0" distB="0" distL="0" distR="0">
            <wp:extent cx="6096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da cobertura: captação, 4 descidas (D1 a D4) e anel de aterramento.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5.3 Descidas e anéis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perímetro = 46,0 m;   descidas: 4 (cantos e intermediárias), espaçamento máximo de 15,0 m ≤ 15 m (+20 %)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anéis intermediários: 0 — altura menor que o espaçamento típico;   comprimento das descidas: 26 m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As descidas são instaladas preferencialmente nos cantos, afastadas de portas e janelas, com conector de medição (desconexão para ensaio) e proteção mecânica por eletroduto de PVC rígido junto ao solo.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5.4 Subsistema de aterramento (arranjo B — anel)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anel a 1,00 m das paredes e 0,50 m de profundidade: 17,00 × 10,00 m; comprimento 54,0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raio médio re = √(A / π) = √(170,0 / π) = 7,36 m;   l1 (NP III, ρ = 119 Ω·m) = 5,00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re ≥ l1: não são necessários eletrodos adicionais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resistência estimada do anel (informativa): R = ρ / (2π²D) × [ln(8D/d) + ln(4D/h)] = 5,83 Ω (ρ do módulo Aterramento)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 anel de aterramento é interligado ao barramento de equipotencialização principal (BEP) e ao aterramento das instalações elétricas, formando um único sistema de aterramento. A eficácia do subsistema é verificada pela continuidade elétrica dos condutores e conexões; a resistência calculada é informativa.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5.5 Distância de segurança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ki × (kc / km) × l = 0,04 × (0,44 / 1) × 5,50 = 0,10 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kc = 0,44 (4 descidas); km = 1 (ar); l = altura até a equipotencialização junto ao solo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Partes metálicas e instalações internas a menos de 0,10 m da captação ou das descidas devem ser interligadas ao SPDA ou afastadas dessa distância.</w:t>
      </w:r>
    </w:p>
    <w:p>
      <w:pPr>
        <w:keepNext/>
        <w:spacing w:before="60" w:after="20"/>
      </w:pPr>
      <w:r>
        <w:drawing>
          <wp:inline distT="0" distB="0" distL="0" distR="0">
            <wp:extent cx="60960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Elevação: captação, descidas, anéis, anel de aterramento e zona protegida (esfera rolante).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5.6 Equipotencialização e DPS (NBR 5419-4:2026)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Na entrada das linhas de energia e de sinal, os condutores metálicos são ligados ao BEP diretamente ou por DPS classe I. Para o NP III, metade da corrente de pico de 100 kA dividida entre os 4 condutores da linha de energia resulta em Iimp ≥ 12,5 kA (10/350 µs) por modo de proteção. Nos quadros de distribuição a jusante são previstos DPS classe II coordenados.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5.7 Materiais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58"/>
        <w:gridCol w:w="878"/>
        <w:gridCol w:w="683"/>
        <w:gridCol w:w="2537"/>
      </w:tblGrid>
      <w:tr>
        <w:trPr>
          <w:tblHeader/>
        </w:trPr>
        <w:tc>
          <w:tcPr>
            <w:tcW w:type="dxa" w:w="565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Un.</w:t>
            </w:r>
          </w:p>
        </w:tc>
        <w:tc>
          <w:tcPr>
            <w:tcW w:type="dxa" w:w="253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Norma</w:t>
            </w:r>
          </w:p>
        </w:tc>
      </w:tr>
      <w:tr>
        <w:trPr>
          <w:cantSplit/>
        </w:trPr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Barra chata ou cabo de alumínio 70 mm² — captação (malha e perímetro da cobertura)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</w:tr>
      <w:tr>
        <w:trPr>
          <w:cantSplit/>
        </w:trPr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Barra chata ou cabo de alumínio 70 mm² — descidas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28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</w:tr>
      <w:tr>
        <w:trPr>
          <w:cantSplit/>
        </w:trPr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Cabo de cobre nu 50 mm² (7 ou 19 fios) — anel de aterramento a 0,5 m de profundidade e 1,0 m das paredes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63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5419-3; NBR 6524</w:t>
            </w:r>
          </w:p>
        </w:tc>
      </w:tr>
      <w:tr>
        <w:trPr>
          <w:cantSplit/>
        </w:trPr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Suporte isolador ou fixador para condutor da captação (a cada 1 m)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</w:tr>
      <w:tr>
        <w:trPr>
          <w:cantSplit/>
        </w:trPr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Fixador para condutor de descida (a cada 1 m até 20 m e 0,5 m acima)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</w:tr>
      <w:tr>
        <w:trPr>
          <w:cantSplit/>
        </w:trPr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Conector de cruzamento e emenda da malha de captação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</w:tr>
      <w:tr>
        <w:trPr>
          <w:cantSplit/>
        </w:trPr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Conector de medição (desconexão para ensaio) em cada descida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</w:tr>
      <w:tr>
        <w:trPr>
          <w:cantSplit/>
        </w:trPr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Eletroduto de PVC rígido para proteção mecânica da descida junto ao solo (2,5 m por descida)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15465</w:t>
            </w:r>
          </w:p>
        </w:tc>
      </w:tr>
      <w:tr>
        <w:trPr>
          <w:cantSplit/>
        </w:trPr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Caixa de inspeção do aterramento (ligação descida/anel)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</w:t>
            </w:r>
          </w:p>
        </w:tc>
      </w:tr>
      <w:tr>
        <w:trPr>
          <w:cantSplit/>
        </w:trPr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Conexão por solda exotérmica ou conector de compressão (descida/anel e eletrodos)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un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16254</w:t>
            </w:r>
          </w:p>
        </w:tc>
      </w:tr>
      <w:tr>
        <w:trPr>
          <w:cantSplit/>
        </w:trPr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Ligação do anel de aterramento ao barramento de equipotencialização principal (BEP)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vb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ABNT NBR 5419-3; NBR 5410</w:t>
            </w:r>
          </w:p>
        </w:tc>
      </w:tr>
    </w:tbl>
    <w:p>
      <w:pPr>
        <w:spacing w:after="80" w:before="0"/>
      </w:pP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Seções mínimas (NBR 5419-3:2026): captação e descidas — cobre ou aço cobreado 35 mm², alumínio 70 mm², aço zincado a quente 50 mm²; aterramento — cobre (7 ou 19 fios) ou aço cobreado 50 mm². Não utilizar aço zincado a quente na transição concreto–solo.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6. INSPEÇÃO E MANUTENÇÃO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Inspeção visual anual e inspeção completa a cada 3 anos (demais estruturas).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Inspeções também após a conclusão da obra, após alterações ou reparos na estrutura e após descarga atmosférica na estrutura.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Verificar: integridade e fixação dos condutores e captores, corrosão, conexões, continuidade elétrica das descidas e do aterramento, distâncias de segurança e equipotencializações, estado dos DPS.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Registrar as inspeções em relatório técnico com ART, mantendo a documentação do SPDA atualizada.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7.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Com as medidas adotadas, o risco de perda de vida humana atende ao valor tolerável da ABNT NBR 5419-2:2026. O SPDA nível III tem 4 descidas, captação em malha e anel de aterramento de 54 m.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27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 — ART a emitir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Análise de risco e projeto do SPDA conforme ABNT NBR 5419:2026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Memorial do SPDA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27/10/2026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_bgafbqlunjsrl68s8wjj.png"/><Relationship Id="rId9" Type="http://schemas.openxmlformats.org/officeDocument/2006/relationships/image" Target="media/si1yoq7swhclbifdr9pxm.png"/><Relationship Id="rId10" Type="http://schemas.openxmlformats.org/officeDocument/2006/relationships/image" Target="media/pqjkuqdfle1bltlwcwuax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do SPDA — Residência unifamiliar — exemplo</dc:title>
  <dc:creator>Dimensiona 5410</dc:creator>
  <dc:description>Memorial do SPDA — ABNT NBR 5419:2026</dc:description>
  <cp:lastModifiedBy>Un-named</cp:lastModifiedBy>
  <cp:revision>1</cp:revision>
  <dcterms:created xsi:type="dcterms:W3CDTF">2026-10-27T15:07:13.280Z</dcterms:created>
  <dcterms:modified xsi:type="dcterms:W3CDTF">2026-10-27T15:07:13.280Z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