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DESCRITIVO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Projeto das instalações elétricas de baixa tensão — descrição da instalação, influências externas, critérios de projeto, especificação dos materiais e anexos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USO / ÁREA / PAVIMENTOS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térrea — 120,00 m² — 1 pavimento(s)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 E ESCOPO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memorial descreve o projeto das instalações elétricas de baixa tensão da obra acima identificada, elaborado segundo a ABNT NBR 5410:2004 (versão corrigida 2008) e as normas complementares relacionadas. Compreende a entrada de energia, os quadros de distribuição, os circuitos terminais de iluminação, tomadas e equipamentos, as linhas elétricas, os dispositivos de proteção, a iluminação, a alimentação da climatização e o aterramento e a equipotencialização.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Integram este memorial, como anexos, os 9 documentos relacionados na seção de anexos, que contêm os cálculos e os quantitativos que fundamentam as especificações aqui descritas.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e NBR 16401-2:2024 — Instalações de ar-condicionado.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aterramento; ABNT NBR 7117-1:2020 — Resistividade do solo.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 (partes 1 a 4) — Proteção contra descargas atmosféricas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NR-10 — Segurança em instalações e serviços em eletricidade (Ministério do Trabalho e Emprego).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Normas de fabricação dos materiais, relacionadas na seção de especificação dos materiais.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CARACTERIZAÇÃO DA OBRA E DA INSTALAÇÃO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 — Residência unifamiliar térrea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construída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120,00 m² em 1 pavimento(s)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Sistema de alimentação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trifásico, 127/220 V, 60 Hz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— neutro e condutor de proteção separados em toda a instalação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Carga instalada (circuitos terminais)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22.196 W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Demanda e categoria (Energisa)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20,11 kVA — categoria T3 (Anexo F)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Quadros de distribuição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— QM, QD-1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 (12 terminais e 1 alimentador(es))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INFLUÊNCIAS EXTERNAS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influências externas foram classificadas segundo 4.2.6 da ABNT NBR 5410, e os componentes e as linhas elétricas foram selecionados para atendê-las (seção 5.2 e capítulo 6). Classificação adotada para a edificação em geral: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2439"/>
        <w:gridCol w:w="2341"/>
        <w:gridCol w:w="4098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Código</w:t>
            </w:r>
          </w:p>
        </w:tc>
        <w:tc>
          <w:tcPr>
            <w:tcW w:type="dxa" w:w="2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Influência externa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 adotada</w:t>
            </w:r>
          </w:p>
        </w:tc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Medidas no projeto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AA4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Temperatura ambiente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−5 °C a +40 °C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Componentes para temperatura ambiente normal; capacidade de condução corrigida pela Tabela 40 para 30 °C (ar) e 20 °C (solo).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AB4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Condições climáticas (temperatura e umidade)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locais abrigados, sem controle de temperatura e umidade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Componentes para uso interno em locais abrigados; nos locais externos, componentes adequados às intempéries.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AC1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Altitude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≤ 2.000 m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Condição normal: sem exigências especiais além das regras gerais da norma.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AD1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Presença de água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desprezível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Componentes com grau de proteção mínimo IPX0 nos locais secos; áreas molhadas tratadas como locais específicos.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AE1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Presença de corpos sólidos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desprezível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Componentes com grau de proteção mínimo IP2X.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AF1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Presença de substâncias corrosivas ou poluentes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desprezível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Condição normal: sem exigências especiais além das regras gerais da norma.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AG1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Choques mecânicos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fracos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Componentes de uso residencial e comercial; linhas embutidas ou protegidas.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AH1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Vibrações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fracas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Condição normal: sem exigências especiais além das regras gerais da norma.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AK1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Presença de flora e mofo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desprezível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Condição normal: sem exigências especiais além das regras gerais da norma.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AL1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Presença de fauna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desprezível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Condição normal: sem exigências especiais além das regras gerais da norma.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AM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Influências eletromagnéticas, eletrostáticas ou ionizantes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níveis normais (sem fontes significativas)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Equipamentos em conformidade com as normas de compatibilidade eletromagnética; circuitos de energia separados dos de sinal.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AN1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Radiação solar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desprezível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Ambientes internos protegidos da radiação solar.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AP1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Efeitos sísmicos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desprezíveis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Condição normal: sem exigências especiais além das regras gerais da norma.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AQ2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Descargas atmosféricas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indiretas (&gt; 25 dias por ano; riscos provenientes da rede)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Dispositivos de proteção contra surtos (DPS) na origem da instalação e nos quadros de distribuição (5.4 e 6.3.5).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AR1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Movimentação do ar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desprezível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Condição normal: sem exigências especiais além das regras gerais da norma.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AS1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Vento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desprezível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Condição normal: sem exigências especiais além das regras gerais da norma.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BA1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Competência das pessoas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comuns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Proteção básica por isolação, barreiras e invólucros; proteção supletiva por seccionamento automático; DR de 30 mA nos locais exigidos (5.1.3.2.2).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BB1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Resistência elétrica do corpo humano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alta (condições secas)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Tensão de contato limite UL = 50 V em condições normais.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BC2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Contato das pessoas com o potencial de terra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raro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Todas as massas ligadas ao condutor de proteção; equipotencialização principal no BEP (6.4.2).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BD1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Condições de fuga das pessoas em emergências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normal (baixa densidade, fuga fácil)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Condição normal: sem exigências especiais além das regras gerais da norma.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BE1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Natureza dos materiais processados ou armazenados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riscos desprezíveis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Condição normal: sem exigências especiais além das regras gerais da norma.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CA1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Materiais de construção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não combustíveis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Condição normal: sem exigências especiais além das regras gerais da norma.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CB1</w:t>
            </w:r>
          </w:p>
        </w:tc>
        <w:tc>
          <w:tcPr>
            <w:tcW w:type="dxa" w:w="2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Estrutura das edificações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riscos desprezíveis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Condição normal: sem exigências especiais além das regras gerais da norma.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Locais com influências específicas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1561"/>
        <w:gridCol w:w="5463"/>
      </w:tblGrid>
      <w:tr>
        <w:trPr>
          <w:tblHeader/>
        </w:trPr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Influências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Medidas adotadas</w:t>
            </w:r>
          </w:p>
        </w:tc>
      </w:tr>
      <w:tr>
        <w:trPr>
          <w:cantSplit/>
        </w:trPr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Banheiros — locais com banheira ou chuveiro (NBR 5410, 9.1)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AD3/AD4, BB3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Circuitos protegidos por DR de 30 mA; tomadas somente fora dos volumes 0, 1 e 2; chuveiro em circuito exclusivo com condutor de proteção; equipotencialização suplementar.</w:t>
            </w:r>
          </w:p>
        </w:tc>
      </w:tr>
      <w:tr>
        <w:trPr>
          <w:cantSplit/>
        </w:trPr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Cozinha, copa, área de serviço e lavanderia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AD2/AD3, BB2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Tomadas protegidas por DR de 30 mA (5.1.3.2.2); TUG e TUE em circuitos independentes.</w:t>
            </w:r>
          </w:p>
        </w:tc>
      </w:tr>
      <w:tr>
        <w:trPr>
          <w:cantSplit/>
        </w:trPr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Áreas externas, garagem e quintal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AD3/AD4, AN2, AG2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Componentes com grau de proteção IPX4 ou superior; eletrodutos e cabos resistentes à radiação UV; DR de 30 mA nas tomadas externas.</w:t>
            </w:r>
          </w:p>
        </w:tc>
      </w:tr>
      <w:tr>
        <w:trPr>
          <w:cantSplit/>
        </w:trPr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Quadros de distribuição e de medição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BA1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Quadros com espelho e porta, identificação dos circuitos, em local de fácil acesso e livre de obstáculos (6.5.4).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CRITÉRIOS DE PROJETO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Proteção contra choques elétricos (5.1): proteção básica por isolação e invólucros; proteção supletiva por seccionamento automático da alimentação no esquema TN-S; proteção adicional por dispositivos DR de alta sensibilidade (30 mA) nos circuitos exigidos por 5.1.3.2.2.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Proteção contra sobrecorrentes (5.3 e 6.3.4): coordenação IB ≤ In ≤ Iz e I2 ≤ 1,45 Iz; verificação da capacidade de interrupção e da suportabilidade térmica dos condutores ao curto-circuito.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Queda de tensão (6.2.7): até 5,0 % do ponto de entrega ao ponto de utilização, com no máximo 4 % nos circuitos terminais.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mínimas (6.2.6): 1,5 mm² nos circuitos de iluminação e 2,5 mm² nos circuitos de força e tomadas (cobre); neutro e condutor de proteção conforme 6.2.6.2 e Tabela 58.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Previsão de cargas e divisão de circuitos em locais de habitação (9.5): iluminação e tomadas em circuitos distintos; equipamentos com corrente nominal superior a 10 A em circuitos independentes; cozinha, copa e área de serviço com circuitos de tomadas exclusivos.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Proteção contra sobretensões (5.4 e 6.3.5): DPS na origem da instalação e nos quadros, com nível de proteção compatível com a suportabilidade a impulso dos equipamentos.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Quadros de distribuição com espaço de reserva conforme a Tabela 59 (6.5.4.7) e identificação de todos 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Detalhamento dos cálculos de condutores, proteção e quedas de tensão na memória de cálculo (Anexo 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DESCRIÇÃO DAS INSTALAÇÕES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Entrada de energia e medição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fornecimento será feito pela Energisa Mato Grosso do Sul em tensão secundária 220/127 V, com padrão de entrada da categoria T3 (19,0 &lt; D ≤ 26,6 kVA), 4 fios. Ramal de ligação: multiplexado de alumínio XLPE, fases 25 mm² e neutro nu CAL 25 mm². Ramal de entrada: cobre 0,6/1 kV, isolação XLPE/HEPR/EPR 90 °C, embutido: fase 16 mm² e neutro 16 mm², em eletroduto de 1 1/4". Proteção geral por disjuntor de 70 A e medição em caixa CMI-02, instalada no muro frontal, no limite do lote com a via pública, com leitura voltada para a calçada. Aterramento do neutro com 3 haste(s) e condutor de 16 mm² (Anexo F).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6.2 Quadros de distribuição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quadros de distribuição recebem os dispositivos de proteção dos circuitos, os dispositivos DR e os DPS, com barramentos independentes de neutro e de proteção. Relação dos quadros: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6"/>
        <w:gridCol w:w="2537"/>
        <w:gridCol w:w="976"/>
        <w:gridCol w:w="1366"/>
        <w:gridCol w:w="3902"/>
      </w:tblGrid>
      <w:tr>
        <w:trPr>
          <w:tblHeader/>
        </w:trPr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Demanda (VA)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Alimentação</w:t>
            </w:r>
          </w:p>
        </w:tc>
      </w:tr>
      <w:tr>
        <w:trPr>
          <w:cantSplit/>
        </w:trPr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medição (ponto de entrega)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Origem da instalação / ponto de entrega</w:t>
            </w:r>
          </w:p>
        </w:tc>
      </w:tr>
      <w:tr>
        <w:trPr>
          <w:cantSplit/>
        </w:trPr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de circuitos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AL-1: Fase 16 · Neutro 16 · PE 16 mm², Disjuntor 3P C63 — 6,0 kA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6.3 Circuitos terminais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1171"/>
        <w:gridCol w:w="1366"/>
        <w:gridCol w:w="1561"/>
        <w:gridCol w:w="2341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 de circuito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 (W)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Seções (mm²)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1.490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Tomadas de uso geral (TUG)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4.080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2,5, 4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 16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/ ponto de uso específico (TUE)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16.100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2,5, 4, 10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 16, 25, 40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A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Circuitos com proteção diferencial-residual: 2, 4, 5, 6, 7, 9, 10, 11, 12.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6.4 Linhas elétricas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Maneira de instalar nº 7 da Tabela 33 — condutores isolados ou cabos unipolares em eletroduto de seção circular embutido em alvenaria (método B1).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Maneira de instalar nº 61A da Tabela 33 — cabos unipolares em eletroduto (de seção circular ou não) ou em canaleta não-ventilada enterrado(a) (método 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Maneira de instalar nº 35 da Tabela 33 — condutores isolados ou cabos unipolares em eletrocalha ou perfilado suspensa(o) (método B1).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Eletrodutos: PVC rígido roscável (ABNT NBR 15465), com diâmetros conforme a taxa de ocupação de 6.2.11.1.6 (Anexo B).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Eletrocalhas, perfilados ou leitos conforme a NBR IEC 61537, dimensionados pela ocupação e pela carga dos cabos (Anexo C).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Condutores identificados por cores (6.1.5.3): neutro azul-claro, proteção verde-amarelo ou verde, fases em preto, vermelho e branco. Não é permitida emenda de condutores no interior de eletrodutos.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6.5 Iluminação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Iluminação de 4 ambiente(s) dimensionada pela ABNT NBR ISO/CIE 8995-1 (iluminância mantida, UGR, Ra e uniformidade), com 22 luminária(s) LED e potência total de 345 W (Anexo E).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6.6 Climatização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Previsão de 3 condicionador(es) de ar, com capacidade total de 30.000 BTU/h, definidos pelo cálculo de carga térmica da ABNT NBR 16401 (Anexo G). Cada equipamento é alimentado por circuito exclusivo com condutor de proteção.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6.7 Aterramento e equipotencialização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de aterramento TN-S. Todas as massas e os pontos de utilização são ligados ao condutor de proteção, que acompanha todos os circuitos. O barramento de equipotencialização principal (BEP), junto ao quadro geral, interliga o condutor de aterramento, os condutores de proteção, as tubulações metálicas e os demais elementos condutivos da edificação (6.4.2). Eletrodos de aterramento: Padrão de entrada — categoria T3 (NDU 001) — 4 hastes de 2,40 m alinhadas, espaçadas de 2,40 m, R = 16,31 Ω (Anexo H).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6.8 Proteção contra surtos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Previstos dispositivos de proteção contra surtos (DPS) na origem da instalação e nos quadros de distribuição, ligados entre cada condutor vivo e o barramento de proteção, com condutores de ligação curtos e retilíneos (6.3.5), em razão da classificação AQ2 quanto a descargas atmosféricas.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ESPECIFICAÇÃO DOS MATERIAIS E NORMAS DE FABRICAÇÃO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materiais devem ser novos, de primeira qualidade, com certificação de conformidade do Inmetro quando compulsória, e atender às normas de fabricação indicadas. Os quantitativos constam da lista de materiais (Anexo I).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7.1 Padrão de entrada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Padrão de entrada conforme a norma de fornecimento da distribuidora (Energisa NDU 001 / NDU 003): caixa de medição homologada, dispositivo de proteção geral, ramal de entrada, eletroduto e aterramento do neutro.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Normas de fabricação: Energisa NDU 001 v7.0; ABNT NBR 5410; ABNT NBR NM 60898; ABNT NBR IEC 60947-2.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7.2 Condutores e cabos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Condutores de cobre, têmpera mole, encordoamento classe 5 (flexível) ou classe 2. Condutores isolados 450/750 V com isolação de PVC 70 °C ou não halogenada; cabos 0,6/1 kV com isolação de PVC, EPR/HEPR ou XLPE. Identificação por cores (NBR 5410, 6.1.5.3): neutro azul-claro; proteção verde-amarelo ou verde; fases preto, vermelho e branco.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Normas de fabricação: ABNT NBR NM 247-3; ABNT NBR 13248; ABNT NBR 7288; ABNT NBR 7286; ABNT NBR 7287; ABNT NBR NM 280.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7.3 Dispositivos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Disjuntores termomagnéticos com capacidade de interrupção compatível com a corrente de curto-circuito presumida; dispositivos diferenciais-residuais de alta sensibilidade (30 mA) nos circuitos exigidos por 5.1.3.2.2; dispositivos de proteção contra surtos (DPS) na origem e nos quadros, coordenados entre si.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Normas de fabricação: ABNT NBR NM 60898; ABNT NBR IEC 60947-2; ABNT NBR NM 61008; ABNT NBR NM 61009; ABNT NBR IEC 61643-11.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7.4 Quadros de distribuição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Quadros de distribuição em chapa de aço com pintura eletrostática ou em material isolante autoextinguível, com trilho DIN, barramentos de fase, neutro e proteção identificados, porta com fecho, espelho de proteção e espaço de reserva conforme a Tabela 59 da NBR 5410.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Normas de fabricação: ABNT NBR IEC 61439-1; ABNT NBR IEC 61439-3.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7.5 Eletrodutos, eletrocalhas e acessórios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Eletrodutos rígidos ou flexíveis não propagantes de chama, com diâmetro nominal mínimo de 16 mm e taxa de ocupação conforme 6.2.11.1.6; eletrocalhas, perfilados e leitos com continuidade elétrica, ligados à equipotencialização.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Normas de fabricação: ABNT NBR 15465; ABNT NBR 15715; ABNT NBR 5597; ABNT NBR 5598; ABNT NBR IEC 61537.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7.6 Caixas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Caixas de embutir e de derivação em material isolante não propagante de chama, com orelhas metálicas, compatíveis com os dispositivos e com o número de condutores.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Normas de fabricação: ABNT NBR IEC 60670-1.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7.7 Tomadas, interruptores e dispositivos de comando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Tomadas 2P+T no padrão brasileiro (10 A e 20 A, 250 V), interruptores de 10 A e placas em material termoplástico, com certificação compulsória do Inmetro.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Normas de fabricação: ABNT NBR 14136; ABNT NBR NM 60884-1; ABNT NBR NM 60669-1; ABNT NBR IEC 60670-1.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7.8 Iluminação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Luminárias e lâmpadas LED com os dados fotométricos considerados no cálculo luminotécnico (fluxo, potência, temperatura de cor e IRC), com certificação do Inmetro.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Normas de fabricação: ABNT NBR IEC 60598-1; ABNT NBR IEC 62560; ABNT NBR ISO/CIE 8995-1.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7.9 Aterramento e equipotencialização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Hastes de aço-cobreado, cabo de cobre nu, conectores apropriados (cunha, compressão ou solda exotérmica), caixas de inspeção e barramento de equipotencialização principal (BEP).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Normas de fabricação: ABNT NBR 13571; ABNT NBR 16254; ABNT NBR 5410 (6.4); ABNT NBR 15465.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7.10 Materiais diversos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Conectores de emenda e derivação, terminais de compressão, fitas isolantes e de autofusão, abraçadeiras e demais materiais de fixação e acabamento, de primeira qualidade.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Normas de fabricação: Conforme o fabricante; certificação Inmetro quando compulsória.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EXECUÇÃO, INSPEÇÃO, ENSAIOS E DOCUMENTAÇÃO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Os serviços devem ser executados por profissionais habilitados e capacitados, com observância da NR-10 e das recomendações dos fabricantes.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Concluída a instalação, realizar a verificação final (seção 7): inspeção visual e ensaios de continuidade dos condutores de proteção e das ligações equipotenciais, resistência de isolamento, seccionamento automático da alimentação, funcionamento dos dispositivos DR e polaridade, além da medição da resistência de aterramento (NBR 15749).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Identificar os circuitos nos quadros e manter junto ao quadro geral o diagrama unifilar atualizado; entregar ao proprietário a documentação da instalação "como construído" (6.1.8).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Realizar a manutenção e as verificações periódicas previstas na seção 8 da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ANEXOS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6"/>
        <w:gridCol w:w="4878"/>
        <w:gridCol w:w="3902"/>
      </w:tblGrid>
      <w:tr>
        <w:trPr>
          <w:tblHeader/>
        </w:trPr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Anexo</w:t>
            </w:r>
          </w:p>
        </w:tc>
        <w:tc>
          <w:tcPr>
            <w:tcW w:type="dxa" w:w="4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Documento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 normativa</w:t>
            </w:r>
          </w:p>
        </w:tc>
      </w:tr>
      <w:tr>
        <w:trPr>
          <w:cantSplit/>
        </w:trPr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4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Memória de cálculo — condutores e proteção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</w:tr>
      <w:tr>
        <w:trPr>
          <w:cantSplit/>
        </w:trPr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4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Memória de cálculo — eletrodutos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— 6.2.11</w:t>
            </w:r>
          </w:p>
        </w:tc>
      </w:tr>
      <w:tr>
        <w:trPr>
          <w:cantSplit/>
        </w:trPr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4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Memória de cálculo — eletrocalhas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IEC 61537</w:t>
            </w:r>
          </w:p>
        </w:tc>
      </w:tr>
      <w:tr>
        <w:trPr>
          <w:cantSplit/>
        </w:trPr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4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Memória de cálculo — quadros de carga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</w:tr>
      <w:tr>
        <w:trPr>
          <w:cantSplit/>
        </w:trPr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</w:t>
            </w:r>
          </w:p>
        </w:tc>
        <w:tc>
          <w:tcPr>
            <w:tcW w:type="dxa" w:w="4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Relatório luminotécnico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ISO/CIE 8995-1:2013</w:t>
            </w:r>
          </w:p>
        </w:tc>
      </w:tr>
      <w:tr>
        <w:trPr>
          <w:cantSplit/>
        </w:trPr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</w:t>
            </w:r>
          </w:p>
        </w:tc>
        <w:tc>
          <w:tcPr>
            <w:tcW w:type="dxa" w:w="4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Memorial de cálculo de demanda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 / NDU 003 v8.1</w:t>
            </w:r>
          </w:p>
        </w:tc>
      </w:tr>
      <w:tr>
        <w:trPr>
          <w:cantSplit/>
        </w:trPr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</w:t>
            </w:r>
          </w:p>
        </w:tc>
        <w:tc>
          <w:tcPr>
            <w:tcW w:type="dxa" w:w="4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Memorial de cálculo de carga térmica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16401-1:2024 · 16401-2:2024 · 16401-3:2008</w:t>
            </w:r>
          </w:p>
        </w:tc>
      </w:tr>
      <w:tr>
        <w:trPr>
          <w:cantSplit/>
        </w:trPr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</w:t>
            </w:r>
          </w:p>
        </w:tc>
        <w:tc>
          <w:tcPr>
            <w:tcW w:type="dxa" w:w="4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Memorial de cálculo de aterramento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 · método simplificado de hastes</w:t>
            </w:r>
          </w:p>
        </w:tc>
      </w:tr>
      <w:tr>
        <w:trPr>
          <w:cantSplit/>
        </w:trPr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4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Lista de materiais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Cadastro de materiais e normas de fabricação</w:t>
            </w:r>
          </w:p>
        </w:tc>
      </w:tr>
    </w:tbl>
    <w:p>
      <w:pPr>
        <w:spacing w:after="80" w:before="0"/>
      </w:pP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ANEXO A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CONDUTORES E PROTEÇÃO DOS CIRCUITOS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13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61,99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2,59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2,08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0,82 / 0,82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+ 3,41 % = 4,23 %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+ 1,77 % = 2,59 %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+ 1,32 % = 2,14 %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+ 2,02 % = 2,84 %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+ 1,49 % = 2,31 %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+ 0,98 % = 1,80 %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2,41 %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2,41 %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+ 1,09 % = 1,91 %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0,82 % (a montante, alimentador AL-1) + 1,26 % = 2,08 %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A.6.13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23.621 VA (demanda do quadro QD-1) — 22.196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23.621 + 0 = 23.621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22.196 / 23.621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23.621,1 / (√3 × 220) = 61,99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61,99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61,99 × 0,0120 × (1,45 × 0,94 + 0,123 × 0,34) / 220 × 100 = 0,82 %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0,82 %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+ 0,82 % = 0,82 %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61,99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13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 — 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ANEXO B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ELETRODUTOS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— 6.2.11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5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B.4.1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B.4.6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ANEXO C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ELETROCALHAS, PERFILADOS, BANDEJAS E LEITOS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IEC 61537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C.4.1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ANEXO D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QUADROS DE CARGA E DEMANDA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7.874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23.621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+ 23.621 = 23.621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23.621 / (√3 × 220) = 62,0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22.196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23.621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7.901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23.621 VA (22.196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23.621 = 23.621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23.621 / (√3 × 220) = 62,0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ANEXO E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CÁLCULO LUMINOTÉCNICO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ISO/CIE 8995-1:2013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E.7.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3122"/>
        <w:gridCol w:w="976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E.8.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4 ambientes calculados atendem à iluminância mantida exigida pela NBR ISO/CIE 8995-1 com as luminárias e o arranjo indicados. Os ambientes Escritório (home office) possuem observações (uniformidade, ofuscamento ou fator de manutenção)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ANEXO F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DEMANDA DO PADRÃO DE ENTRADA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Energisa NDU 001 v7.0 / NDU 003 v8.1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 — 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 — 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 — 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ANEXO G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CARGA TÉRMICA DE CLIMATIZAÇÃO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16401-1:2024 · 16401-2:2024 · 16401-3:2008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ANEXO H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ATERRAMENTO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 · método simplificado de hastes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H.3.1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H.3.2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H.3.3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ANEXO I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LISTA DE MATERIAIS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Cadastro de materiais e normas de fabricação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40 módulos DIN, com barramentos de fase, neutro e proteção; 12 circuitos + reserva para 3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I.9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I.10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descritivo das instalações elétricas —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descritivo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2w9wpyvvwdeg0jvnsulfq.png"/><Relationship Id="rId9" Type="http://schemas.openxmlformats.org/officeDocument/2006/relationships/image" Target="media/hqounoypprihu8yll6qvq.png"/><Relationship Id="rId10" Type="http://schemas.openxmlformats.org/officeDocument/2006/relationships/image" Target="media/nl8ix_utdgkj6hfmsjb6u.png"/><Relationship Id="rId11" Type="http://schemas.openxmlformats.org/officeDocument/2006/relationships/image" Target="media/tgcxea3mr_fe3wyvhbalg.png"/><Relationship Id="rId12" Type="http://schemas.openxmlformats.org/officeDocument/2006/relationships/image" Target="media/0fdoykiyprovoqxmyudfn.png"/><Relationship Id="rId13" Type="http://schemas.openxmlformats.org/officeDocument/2006/relationships/image" Target="media/ejhxkcmjrzfrso0qprsn4.png"/><Relationship Id="rId14" Type="http://schemas.openxmlformats.org/officeDocument/2006/relationships/image" Target="media/tfozmvtao34spd7jmvnmw.png"/><Relationship Id="rId15" Type="http://schemas.openxmlformats.org/officeDocument/2006/relationships/image" Target="media/fwgb3gwwsm-yvzojwsvvp.png"/><Relationship Id="rId16" Type="http://schemas.openxmlformats.org/officeDocument/2006/relationships/image" Target="media/yqlezxgkbe8bymkgksw8p.png"/><Relationship Id="rId17" Type="http://schemas.openxmlformats.org/officeDocument/2006/relationships/image" Target="media/rgltow82-bzgc3vvljdb6.png"/><Relationship Id="rId18" Type="http://schemas.openxmlformats.org/officeDocument/2006/relationships/image" Target="media/nzhugqji1xvki27n1c032.png"/><Relationship Id="rId19" Type="http://schemas.openxmlformats.org/officeDocument/2006/relationships/image" Target="media/umcmsowkpsipxxuqasiqu.png"/><Relationship Id="rId20" Type="http://schemas.openxmlformats.org/officeDocument/2006/relationships/image" Target="media/ma383cfrolkfjsvghehcg.png"/><Relationship Id="rId21" Type="http://schemas.openxmlformats.org/officeDocument/2006/relationships/image" Target="media/o2cbqq3twmbd83tinh1k_.png"/><Relationship Id="rId22" Type="http://schemas.openxmlformats.org/officeDocument/2006/relationships/image" Target="media/tyltrhraxw6rmm1nzhpwi.png"/><Relationship Id="rId23" Type="http://schemas.openxmlformats.org/officeDocument/2006/relationships/image" Target="media/9uu9fblhzlnvhvfg0ijqq.png"/><Relationship Id="rId24" Type="http://schemas.openxmlformats.org/officeDocument/2006/relationships/image" Target="media/ny5jdfg2hsg7g7tg1neqi.png"/><Relationship Id="rId25" Type="http://schemas.openxmlformats.org/officeDocument/2006/relationships/image" Target="media/6rntd7zyjsspxnqnvzpi-.png"/><Relationship Id="rId26" Type="http://schemas.openxmlformats.org/officeDocument/2006/relationships/image" Target="media/ib1c6x0tentknvq2-les7.png"/><Relationship Id="rId27" Type="http://schemas.openxmlformats.org/officeDocument/2006/relationships/image" Target="media/-c1y__ut3e1hchhz8pctd.png"/><Relationship Id="rId28" Type="http://schemas.openxmlformats.org/officeDocument/2006/relationships/image" Target="media/f_zg8fxnbx861hxiebocm.png"/><Relationship Id="rId29" Type="http://schemas.openxmlformats.org/officeDocument/2006/relationships/image" Target="media/svdgdwnt9auw62vd8tt8f.png"/><Relationship Id="rId30" Type="http://schemas.openxmlformats.org/officeDocument/2006/relationships/image" Target="media/ws9kffwu_jsaycj2xyp7n.png"/><Relationship Id="rId31" Type="http://schemas.openxmlformats.org/officeDocument/2006/relationships/image" Target="media/n6m8trrx4bij-aqhvfozk.png"/><Relationship Id="rId32" Type="http://schemas.openxmlformats.org/officeDocument/2006/relationships/image" Target="media/_2sf2nijuk_xjogft58_y.png"/><Relationship Id="rId33" Type="http://schemas.openxmlformats.org/officeDocument/2006/relationships/image" Target="media/8dytslpic3wpwi4s-lner.png"/><Relationship Id="rId34" Type="http://schemas.openxmlformats.org/officeDocument/2006/relationships/image" Target="media/hzqogb01o5kt-icjh3_61.png"/><Relationship Id="rId35" Type="http://schemas.openxmlformats.org/officeDocument/2006/relationships/image" Target="media/_sjxto_kzlsj2oeegdm9z.png"/><Relationship Id="rId36" Type="http://schemas.openxmlformats.org/officeDocument/2006/relationships/image" Target="media/s4zl7hgx_quymdalzizzo.png"/><Relationship Id="rId37" Type="http://schemas.openxmlformats.org/officeDocument/2006/relationships/image" Target="media/g5eoch7bst7c2b7dellck.png"/><Relationship Id="rId38" Type="http://schemas.openxmlformats.org/officeDocument/2006/relationships/image" Target="media/p9wk7qg4hbe4czwtapvet.png"/><Relationship Id="rId39" Type="http://schemas.openxmlformats.org/officeDocument/2006/relationships/image" Target="media/8obsjcjxz5_wmdiw3_wp3.png"/><Relationship Id="rId40" Type="http://schemas.openxmlformats.org/officeDocument/2006/relationships/image" Target="media/_gaq42o8q7sa0dpuskrpo.png"/><Relationship Id="rId41" Type="http://schemas.openxmlformats.org/officeDocument/2006/relationships/image" Target="media/n3e2bqrbal1h2sgyjcqwr.png"/><Relationship Id="rId42" Type="http://schemas.openxmlformats.org/officeDocument/2006/relationships/image" Target="media/j7oethz-lspihd9szyh5p.png"/><Relationship Id="rId43" Type="http://schemas.openxmlformats.org/officeDocument/2006/relationships/image" Target="media/ijqdxuzlmhjgrn4sx-5x4.png"/><Relationship Id="rId44" Type="http://schemas.openxmlformats.org/officeDocument/2006/relationships/image" Target="media/lbg9_u4e2hxemcwpqmns1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descritivo — Residência unifamiliar — exemplo</dc:title>
  <dc:creator>Dimensiona 5410</dc:creator>
  <dc:description>Memorial descritivo</dc:description>
  <cp:lastModifiedBy>Un-named</cp:lastModifiedBy>
  <cp:revision>1</cp:revision>
  <dcterms:created xsi:type="dcterms:W3CDTF">2026-10-20T12:04:13.931Z</dcterms:created>
  <dcterms:modified xsi:type="dcterms:W3CDTF">2026-10-20T12:04:13.931Z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