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a-wordmark-gener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132A2A"/>
          <w:sz w:val="56"/>
        </w:rPr>
        <w:t>BUSINESS PLAN</w:t>
      </w:r>
    </w:p>
    <w:p>
      <w:pPr>
        <w:jc w:val="center"/>
      </w:pPr>
      <w:r>
        <w:rPr>
          <w:b/>
          <w:color w:val="0D8B73"/>
          <w:sz w:val="44"/>
        </w:rPr>
        <w:t>2026–2029</w:t>
      </w:r>
    </w:p>
    <w:p>
      <w:pPr>
        <w:spacing w:after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6F1E7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132A2A"/>
                <w:sz w:val="28"/>
              </w:rPr>
              <w:t>Lastrico by Motia  /  Smoother roads. Smarter routes.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color w:val="344443"/>
          <w:sz w:val="22"/>
        </w:rPr>
        <w:t>Investor Working Draft</w:t>
        <w:br/>
        <w:t>Version 1.0 · July 2026</w:t>
      </w:r>
    </w:p>
    <w:p>
      <w:pPr>
        <w:jc w:val="center"/>
      </w:pPr>
      <w:r>
        <w:rPr>
          <w:b/>
          <w:color w:val="132A2A"/>
          <w:sz w:val="20"/>
        </w:rPr>
        <w:br/>
        <w:t>Founder: Domenico Campanella Scali</w:t>
      </w:r>
    </w:p>
    <w:p>
      <w:pPr>
        <w:jc w:val="center"/>
      </w:pPr>
      <w:r>
        <w:rPr>
          <w:i/>
          <w:color w:val="627D79"/>
          <w:sz w:val="16"/>
        </w:rPr>
        <w:t>Nome e profilo biografico da verificare prima della pubblicazione esterna.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01</w:t>
      </w:r>
    </w:p>
    <w:p>
      <w:pPr>
        <w:pStyle w:val="Heading1"/>
      </w:pPr>
      <w:r>
        <w:t>Executive summary</w:t>
      </w:r>
    </w:p>
    <w:p>
      <w:pPr>
        <w:pStyle w:val="Subtitle"/>
      </w:pPr>
      <w:r>
        <w:rPr>
          <w:rFonts w:ascii="Arial" w:hAnsi="Arial"/>
          <w:color w:val="0D8B73"/>
          <w:sz w:val="22"/>
        </w:rPr>
        <w:t>Un programma di validazione, non un lancio nazionale</w:t>
      </w:r>
    </w:p>
    <w:p>
      <w:r>
        <w:t>Motia è una proposta di startup di routing intelligence: vuole permettere a persone e organizzazioni di scegliere percorsi coerenti con veicolo, strada, incertezza e preferenze reali, non solo con il tempo stimato.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DE7E3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132A2A"/>
                <w:sz w:val="28"/>
              </w:rPr>
              <w:t>La futura interfaccia della navigazione è il prompt.</w:t>
            </w:r>
          </w:p>
        </w:tc>
      </w:tr>
    </w:tbl>
    <w:p>
      <w:pPr>
        <w:spacing w:after="0"/>
      </w:pPr>
    </w:p>
    <w:p>
      <w:r>
        <w:t>La frase non affida la navigazione a un modello linguistico. Il prompt viene tradotto in uno schema limitato e confermabile; legalità, generazione dei candidati, scoring e ricalcolo restano deterministici e verificabili.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381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Livello</w:t>
            </w:r>
          </w:p>
        </w:tc>
        <w:tc>
          <w:tcPr>
            <w:tcW w:type="dxa" w:w="4535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Ruolo</w:t>
            </w:r>
          </w:p>
        </w:tc>
        <w:tc>
          <w:tcPr>
            <w:tcW w:type="dxa" w:w="2381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Stato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Motia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Società madre · Routes shaped around you.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Proposta; verifiche societarie e marchio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Motia Routing Intelligence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Preferenze, condizioni, ranking, spiegazioni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Piattaforma pianificata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Motia Routing Engine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Servizio/API per partner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Visione futura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Lastrico by Motia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Primo prodotto surface-aware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Beta sperimentale testata a Milano</w:t>
            </w:r>
          </w:p>
        </w:tc>
      </w:tr>
    </w:tbl>
    <w:p>
      <w:pPr>
        <w:spacing w:after="0"/>
      </w:pPr>
    </w:p>
    <w:p>
      <w:r>
        <w:t>La tesi investibile è misurata: finanziare quattro prove — comportamento ripetuto, qualità dati, delivery nativa fedele al percorso selezionato ed economia sostenibile — prima di estendere piattaforme, geografie o superfici automotive.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02</w:t>
      </w:r>
    </w:p>
    <w:p>
      <w:pPr>
        <w:pStyle w:val="Heading1"/>
      </w:pPr>
      <w:r>
        <w:t>Visione, missione e problema</w:t>
      </w:r>
    </w:p>
    <w:p>
      <w:pPr>
        <w:pStyle w:val="Heading2"/>
      </w:pPr>
      <w:r>
        <w:t>Missione</w:t>
      </w:r>
    </w:p>
    <w:p>
      <w:r>
        <w:t>Permettere a persone e organizzazioni di scegliere percorsi realmente adatti alle proprie esigenze, traducendo preferenze complesse in decisioni di navigazione intelligenti, trasparenti e personalizzabili.</w:t>
      </w:r>
    </w:p>
    <w:p>
      <w:pPr>
        <w:pStyle w:val="Heading2"/>
      </w:pPr>
      <w:r>
        <w:t>Visione</w:t>
      </w:r>
    </w:p>
    <w:p>
      <w:r>
        <w:t>Costruire un nuovo livello di intelligenza per la mobilità, nel quale ogni percorso possa essere modellato attraverso il linguaggio naturale e ottimizzato sulla base di ciò che conta davvero per l'utente.</w:t>
      </w:r>
    </w:p>
    <w:p>
      <w:pPr>
        <w:pStyle w:val="Heading2"/>
      </w:pPr>
      <w:r>
        <w:t>Il problema</w:t>
      </w:r>
    </w:p>
    <w:p>
      <w:pPr>
        <w:pStyle w:val="ListBullet"/>
        <w:spacing w:after="60"/>
        <w:ind w:left="255" w:hanging="102"/>
      </w:pPr>
      <w:r>
        <w:t>Le interfacce mainstream mettono spesso in primo piano l'ETA; una scorciatoia può essere inadatta al mezzo o alle preferenze.</w:t>
      </w:r>
    </w:p>
    <w:p>
      <w:pPr>
        <w:pStyle w:val="ListBullet"/>
        <w:spacing w:after="60"/>
        <w:ind w:left="255" w:hanging="102"/>
      </w:pPr>
      <w:r>
        <w:t>Qualità del fondo, restringimenti, pendenze, continuità della viabilità principale, chiusure e affidabilità hanno significati diversi per auto, moto e bici.</w:t>
      </w:r>
    </w:p>
    <w:p>
      <w:pPr>
        <w:pStyle w:val="ListBullet"/>
        <w:spacing w:after="60"/>
        <w:ind w:left="255" w:hanging="102"/>
      </w:pPr>
      <w:r>
        <w:t>I dati sono frammentati, incompleti o non aggiornati; l'assenza di segnalazioni non equivale a una strada sicura.</w:t>
      </w:r>
    </w:p>
    <w:p>
      <w:pPr>
        <w:pStyle w:val="ListBullet"/>
        <w:spacing w:after="60"/>
        <w:ind w:left="255" w:hanging="102"/>
      </w:pPr>
      <w:r>
        <w:t>Gli utenti non dispongono di un modo semplice per esprimere compromessi complessi e verificabili.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6F1E7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132A2A"/>
                <w:sz w:val="28"/>
              </w:rPr>
              <w:t>173.364 incidenti con lesioni · 3.030 vittime · €22,6 mld di costo sociale stimato in Italia nel 2024</w:t>
            </w:r>
          </w:p>
        </w:tc>
      </w:tr>
    </w:tbl>
    <w:p>
      <w:pPr>
        <w:spacing w:after="0"/>
      </w:pPr>
    </w:p>
    <w:p>
      <w:r>
        <w:t>Fonte: Istat, Incidenti stradali in Italia 2024. Questi dati descrivono la rilevanza del dominio; non dimostrano che Motia riduca gli incidenti.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03</w:t>
      </w:r>
    </w:p>
    <w:p>
      <w:pPr>
        <w:pStyle w:val="Heading1"/>
      </w:pPr>
      <w:r>
        <w:t>Lastrico: il primo prodotto</w:t>
      </w:r>
    </w:p>
    <w:p>
      <w:pPr>
        <w:pStyle w:val="Subtitle"/>
      </w:pPr>
      <w:r>
        <w:rPr>
          <w:rFonts w:ascii="Arial" w:hAnsi="Arial"/>
          <w:color w:val="0D8B73"/>
          <w:sz w:val="22"/>
        </w:rPr>
        <w:t>Smoother roads. Smarter routes.</w:t>
      </w:r>
    </w:p>
    <w:p>
      <w:r>
        <w:t>Lastrico è l'evidenza tecnica iniziale: una PWA open source che confronta il percorso più rapido con un'alternativa a minore esposizione stimata a fondi irregolari noti, quando esiste un candidato realmente distinto.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649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Oggi verificabile</w:t>
            </w:r>
          </w:p>
        </w:tc>
        <w:tc>
          <w:tcPr>
            <w:tcW w:type="dxa" w:w="4649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Non ancora disponibile</w:t>
            </w:r>
          </w:p>
        </w:tc>
      </w:tr>
      <w:t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React/Next.js PWA; MapLibre e dati OSM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App native iOS/Android e navigazione background production-grade</w:t>
            </w:r>
          </w:p>
        </w:tc>
      </w:tr>
      <w:t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Profili auto, moto e bici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CarPlay o Android Auto approvati</w:t>
            </w:r>
          </w:p>
        </w:tc>
      </w:tr>
      <w:t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Valhalla; fallback OSRM solo auto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SLA, traffico live e fornitori commerciali contrattualizzati</w:t>
            </w:r>
          </w:p>
        </w:tc>
      </w:tr>
      <w:t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GPS foreground, manovre, voce opzionale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Prompt routing e personalizzazione validata</w:t>
            </w:r>
          </w:p>
        </w:tc>
      </w:tr>
      <w:t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Report con stati pending/verified/rejected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Moderazione operativa nazionale dimostrata</w:t>
            </w:r>
          </w:p>
        </w:tc>
      </w:tr>
      <w:t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Copertura beta testata a Milano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Copertura verificata dell'Italia</w:t>
            </w:r>
          </w:p>
        </w:tc>
      </w:tr>
    </w:tbl>
    <w:p>
      <w:pPr>
        <w:spacing w:after="0"/>
      </w:pPr>
    </w:p>
    <w:p>
      <w:r>
        <w:t>Milano è il primo banco di prova, non il nome del prodotto né un limite architetturale. L'estensione avverrà per zone e corridoi versionati, mostrando copertura nota e quota non valutata.</w:t>
      </w:r>
    </w:p>
    <w:p>
      <w:r>
        <w:t>Lastrico non garantisce un percorso sicuro o privo di pericoli. Segnaletica, leggi, condizioni attuali e giudizio dell'utente hanno sempre priorità.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04</w:t>
      </w:r>
    </w:p>
    <w:p>
      <w:pPr>
        <w:pStyle w:val="Heading1"/>
      </w:pPr>
      <w:r>
        <w:t>Prodotto e tecnologia</w:t>
      </w:r>
    </w:p>
    <w:p>
      <w:pPr>
        <w:pStyle w:val="Subtitle"/>
      </w:pPr>
      <w:r>
        <w:rPr>
          <w:rFonts w:ascii="Arial" w:hAnsi="Arial"/>
          <w:color w:val="0D8B73"/>
          <w:sz w:val="22"/>
        </w:rPr>
        <w:t>AI confinata, routing deterministico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9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a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  <w:ind w:left="255" w:hanging="102"/>
      </w:pPr>
      <w:r>
        <w:t>Schema di preferenze versionato, allow-listed e confermato dall'utente.</w:t>
      </w:r>
    </w:p>
    <w:p>
      <w:pPr>
        <w:pStyle w:val="ListBullet"/>
        <w:spacing w:after="60"/>
        <w:ind w:left="255" w:hanging="102"/>
      </w:pPr>
      <w:r>
        <w:t>PostgreSQL/PostGIS, ingestione versionata, identificatori stradali stabili e snapshot riproducibili.</w:t>
      </w:r>
    </w:p>
    <w:p>
      <w:pPr>
        <w:pStyle w:val="ListBullet"/>
        <w:spacing w:after="60"/>
        <w:ind w:left="255" w:hanging="102"/>
      </w:pPr>
      <w:r>
        <w:t>Contratto di selezione del percorso con candidate ID, geometria/token provider, versioni dati e motivo di reroute.</w:t>
      </w:r>
    </w:p>
    <w:p>
      <w:pPr>
        <w:pStyle w:val="ListBullet"/>
        <w:spacing w:after="60"/>
        <w:ind w:left="255" w:hanging="102"/>
      </w:pPr>
      <w:r>
        <w:t>Dati con fonte, licenza, tempo, freschezza, confidenza, rilevanza per modalità, stato ed expiry.</w:t>
      </w:r>
    </w:p>
    <w:p>
      <w:pPr>
        <w:pStyle w:val="ListBullet"/>
        <w:spacing w:after="60"/>
        <w:ind w:left="255" w:hanging="102"/>
      </w:pPr>
      <w:r>
        <w:t>App nativa primaria prima; seconda piattaforma e automotive solo dopo evidenza.</w:t>
      </w:r>
    </w:p>
    <w:p>
      <w:r>
        <w:t>Strategia provider: partire da una base di navigazione contrattualizzata, mantenendo in Motia il differenziale di dati, preferenze, ranking e spiegazione. Il self-hosting completo diventa sensato solo quando scala e controllo compensano il carico operativo.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05</w:t>
      </w:r>
    </w:p>
    <w:p>
      <w:pPr>
        <w:pStyle w:val="Heading1"/>
      </w:pPr>
      <w:r>
        <w:t>Mercato, clienti e concorrenza</w:t>
      </w:r>
    </w:p>
    <w:p>
      <w:r>
        <w:t>Il piano non pubblica un TAM non verificato. La ricerca deve costruire un mercato bottom-up per segmento, corridoio, numero di flotte, budget, procurement e disponibilità a pagare.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381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Segmento iniziale</w:t>
            </w:r>
          </w:p>
        </w:tc>
        <w:tc>
          <w:tcPr>
            <w:tcW w:type="dxa" w:w="3402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Test 2026–27</w:t>
            </w:r>
          </w:p>
        </w:tc>
        <w:tc>
          <w:tcPr>
            <w:tcW w:type="dxa" w:w="3628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Segnale per continuare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Utenti surface-sensitive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40+ interviste e route-choice cohort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≥30% sceglie alternativa pertinente; target D30 ≥20%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Flotte e assistenza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5 design partner; 3 pilot scope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3 pilot pagati o contrattualmente impegnati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Comuni/operatori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10 buyer interview; prototipo dati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Budget owner, licenza/fonte e pilot pagato o cofinanziato</w:t>
            </w:r>
          </w:p>
        </w:tc>
      </w:tr>
    </w:tbl>
    <w:p>
      <w:pPr>
        <w:spacing w:after="0"/>
      </w:pPr>
    </w:p>
    <w:p>
      <w:pPr>
        <w:pStyle w:val="Heading2"/>
      </w:pPr>
      <w:r>
        <w:t>Posizionamento competitivo</w:t>
      </w:r>
    </w:p>
    <w:p>
      <w:r>
        <w:t>Motia non compete inizialmente sul basemap. Integra fondazioni mature e concentra la differenziazione su cinque elementi: rete di condizioni verificata, contratto di preferenze, evidenza di ranking, workflow per partner/contributori e fiducia attraverso limiti e incertezza visibili.</w:t>
      </w:r>
    </w:p>
    <w:p>
      <w:r>
        <w:t>Google, Waze, Apple, Mapbox e stack OSM rendono alta la pressione competitiva. Un'interfaccia conversazionale, da sola, è replicabile; il vantaggio deve emergere da dati, calibrazione, integrazione e operazioni.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06</w:t>
      </w:r>
    </w:p>
    <w:p>
      <w:pPr>
        <w:pStyle w:val="Heading1"/>
      </w:pPr>
      <w:r>
        <w:t>Community, open source e marketing</w:t>
      </w:r>
    </w:p>
    <w:p>
      <w:r>
        <w:t>L'open source è una strategia di fiducia e qualità, non crescita automatica. Client, test, documentazione e strumenti di valutazione possono restare pubblici; feed verificati, moderazione, SLA, integrazioni e API gestite possono sostenere servizi a pagamento.</w:t>
      </w:r>
    </w:p>
    <w:p>
      <w:pPr>
        <w:pStyle w:val="ListBullet"/>
        <w:spacing w:after="60"/>
        <w:ind w:left="255" w:hanging="102"/>
      </w:pPr>
      <w:r>
        <w:t>Percorsi guidati per codice, dati, accessibilità, documentazione, localizzazione e test.</w:t>
      </w:r>
    </w:p>
    <w:p>
      <w:pPr>
        <w:pStyle w:val="ListBullet"/>
        <w:spacing w:after="60"/>
        <w:ind w:left="255" w:hanging="102"/>
      </w:pPr>
      <w:r>
        <w:t>Contributi non tecnici tramite report in-app, interviste, validation day e partner locali.</w:t>
      </w:r>
    </w:p>
    <w:p>
      <w:pPr>
        <w:pStyle w:val="ListBullet"/>
        <w:spacing w:after="60"/>
        <w:ind w:left="255" w:hanging="102"/>
      </w:pPr>
      <w:r>
        <w:t>Report non verificati non modificano immediatamente il routing; correzione, cancellazione e appello restano disponibili.</w:t>
      </w:r>
    </w:p>
    <w:p>
      <w:pPr>
        <w:pStyle w:val="ListBullet"/>
        <w:spacing w:after="60"/>
        <w:ind w:left="255" w:hanging="102"/>
      </w:pPr>
      <w:r>
        <w:t>Metriche: contributi verificati, rejection rate, tempo di moderazione, freschezza, retention contributori e km non noti.</w:t>
      </w:r>
    </w:p>
    <w:p>
      <w:pPr>
        <w:pStyle w:val="Heading2"/>
      </w:pPr>
      <w:r>
        <w:t>Go-to-market a budget contenuto</w:t>
      </w:r>
    </w:p>
    <w:p>
      <w:pPr>
        <w:pStyle w:val="ListBullet"/>
        <w:spacing w:after="60"/>
        <w:ind w:left="255" w:hanging="102"/>
      </w:pPr>
      <w:r>
        <w:t>Aggiornamento settimanale del fondatore, basato su evidenze e limiti reali.</w:t>
      </w:r>
    </w:p>
    <w:p>
      <w:pPr>
        <w:pStyle w:val="ListBullet"/>
        <w:spacing w:after="60"/>
        <w:ind w:left="255" w:hanging="102"/>
      </w:pPr>
      <w:r>
        <w:t>Case study di percorsi, contenuti SEO, YouTube tecnico-divulgativo e newsletter proprietaria.</w:t>
      </w:r>
    </w:p>
    <w:p>
      <w:pPr>
        <w:pStyle w:val="ListBullet"/>
        <w:spacing w:after="60"/>
        <w:ind w:left="255" w:hanging="102"/>
      </w:pPr>
      <w:r>
        <w:t>Partnership con community locali; earned media solo su risultati misurati.</w:t>
      </w:r>
    </w:p>
    <w:p>
      <w:pPr>
        <w:pStyle w:val="ListBullet"/>
        <w:spacing w:after="60"/>
        <w:ind w:left="255" w:hanging="102"/>
      </w:pPr>
      <w:r>
        <w:t>Paid media limitato a esperimenti dopo aver compreso attivazione e messaggio organico.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6F1E7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132A2A"/>
                <w:sz w:val="28"/>
              </w:rPr>
              <w:t>Budget marketing dettagliato Base 2026–2029: €110.150. Il resto della voce commerciale finanzia vendite, partnership, delivery pilot e riserva.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07</w:t>
      </w:r>
    </w:p>
    <w:p>
      <w:pPr>
        <w:pStyle w:val="Heading1"/>
      </w:pPr>
      <w:r>
        <w:t>Business model e unit economics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154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Linea</w:t>
            </w:r>
          </w:p>
        </w:tc>
        <w:tc>
          <w:tcPr>
            <w:tcW w:type="dxa" w:w="3969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Ipotesi di valore</w:t>
            </w:r>
          </w:p>
        </w:tc>
        <w:tc>
          <w:tcPr>
            <w:tcW w:type="dxa" w:w="3288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Free + founding member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Confronto percorsi e contributi; supporto iniziale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Attivazione e retention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Premium B2C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Preferenze, alert e spiegazioni avanzate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Prezzo, churn, store effects, CAC/payback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Fleet / B2B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Route intelligence e pilot per operazioni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ACV, deployment cost, rinnovo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B2G / mapping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Dashboard o progetto cofinanziato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Procurement, licenze, budget owner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API / white label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Scoring e condition intelligence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SLA, margine, diritti provider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Grant / ricerca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Finanza non diluitiva o income contrattuale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Elegibilità e trattamento contabile</w:t>
            </w:r>
          </w:p>
        </w:tc>
      </w:tr>
    </w:tbl>
    <w:p>
      <w:pPr>
        <w:spacing w:after="0"/>
      </w:pPr>
    </w:p>
    <w:p>
      <w:r>
        <w:t>Ipotesi B2C: €4,99/mese o €39,99/anno di listino; ARPPU netto trimestrale Base €10. L'importo deve assorbire mix mensile/annuale, sconti, IVA, commissioni store, rimborsi, pagamenti falliti e churn.</w:t>
      </w:r>
    </w:p>
    <w:p>
      <w:pPr>
        <w:pStyle w:val="ListBullet"/>
        <w:spacing w:after="60"/>
        <w:ind w:left="255" w:hanging="102"/>
      </w:pPr>
      <w:r>
        <w:t>Costo e margine per sessione di navigazione a 10k, 100k e 250k MAU.</w:t>
      </w:r>
    </w:p>
    <w:p>
      <w:pPr>
        <w:pStyle w:val="ListBullet"/>
        <w:spacing w:after="60"/>
        <w:ind w:left="255" w:hanging="102"/>
      </w:pPr>
      <w:r>
        <w:t>Conversione, ARPU netto, churn, CAC e payback per coorte.</w:t>
      </w:r>
    </w:p>
    <w:p>
      <w:pPr>
        <w:pStyle w:val="ListBullet"/>
        <w:spacing w:after="60"/>
        <w:ind w:left="255" w:hanging="102"/>
      </w:pPr>
      <w:r>
        <w:t>ACV, margine lordo, ciclo vendita, costo implementazione e rinnovo B2B/B2G.</w:t>
      </w:r>
    </w:p>
    <w:p>
      <w:pPr>
        <w:pStyle w:val="ListBullet"/>
        <w:spacing w:after="60"/>
        <w:ind w:left="255" w:hanging="102"/>
      </w:pPr>
      <w:r>
        <w:t>Costo di dati/moderazione per km verificato e regione attiva.</w:t>
      </w:r>
    </w:p>
    <w:p>
      <w:r>
        <w:t>Motia non venderà storici di movimento identificabili. La pubblicità non è prioritaria perché può compromettere fiducia, leggibilità, privacy e distrazione.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08</w:t>
      </w:r>
    </w:p>
    <w:p>
      <w:pPr>
        <w:pStyle w:val="Heading1"/>
      </w:pPr>
      <w:r>
        <w:t>Roadmap 2026–2029</w:t>
      </w:r>
    </w:p>
    <w:p>
      <w:pPr>
        <w:pStyle w:val="Subtitle"/>
      </w:pPr>
      <w:r>
        <w:rPr>
          <w:rFonts w:ascii="Arial" w:hAnsi="Arial"/>
          <w:color w:val="0D8B73"/>
          <w:sz w:val="22"/>
        </w:rPr>
        <w:t>Ogni fase è condizionale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531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4082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Outcome target</w:t>
            </w:r>
          </w:p>
        </w:tc>
        <w:tc>
          <w:tcPr>
            <w:tcW w:type="dxa" w:w="3798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Gate principale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Q4 2026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Super-beta controllata e baseline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Stabilità, claims/privacy, 40 interviste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H1 2027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Backend regionale e alpha nativa primaria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Route fidelity, moderazione, 3 pilot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H2 2027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Field beta e test prezzi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D30, route acceptance, cost/session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H1 2028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Seconda regione e prompt-to-schema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Data quality e corpus ambiguità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H2 2028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Motia Routing Intelligence beta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B2B ripetibile, reliability, margine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H1 2029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API alpha; automotive solo se eligible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Checklist piattaforme e domanda</w:t>
            </w:r>
          </w:p>
        </w:tc>
      </w:tr>
      <w:t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H2 2029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Decisione multi-regione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Economia corridoi, rinnovi, qualità auditata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2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-user-grow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627D79"/>
          <w:sz w:val="15"/>
        </w:rPr>
        <w:t>MAU Base: target gestionali scenario-based; non rappresentano una previsione.</w:t>
      </w:r>
    </w:p>
    <w:p>
      <w:r>
        <w:t>Stop o restringimento se gli utenti non comprendono/scelgono le alternative, se manca un buyer con valore misurabile, se il provider non preserva il percorso, se i dati non raggiungono qualità sostenibile o se il capitale richiede diluizione sproporzionata.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09</w:t>
      </w:r>
    </w:p>
    <w:p>
      <w:pPr>
        <w:pStyle w:val="Heading1"/>
      </w:pPr>
      <w:r>
        <w:t>Fondatore e team</w:t>
      </w:r>
    </w:p>
    <w:p>
      <w:pPr>
        <w:pStyle w:val="Subtitle"/>
      </w:pPr>
      <w:r>
        <w:rPr>
          <w:rFonts w:ascii="Arial" w:hAnsi="Arial"/>
          <w:color w:val="0D8B73"/>
          <w:sz w:val="22"/>
        </w:rPr>
        <w:t>Verifica fondatore richiesta prima della pubblicazione esterna</w:t>
      </w:r>
    </w:p>
    <w:p>
      <w:pPr>
        <w:pStyle w:val="Heading2"/>
      </w:pPr>
      <w:r>
        <w:t>Domenico Campanella Scali</w:t>
      </w:r>
    </w:p>
    <w:p>
      <w:r>
        <w:t>Profilo fornito dal fondatore: italiano; laurea in Economia Aziendale presso Università Politecnica delle Marche; laurea magistrale in Management e Strategia d'Impresa presso Università degli Studi di Verona; Master in Fintech in corso presso Politecnico di Milano Graduate School of Management.</w:t>
      </w:r>
    </w:p>
    <w:p>
      <w:r>
        <w:t>Il brief descrive inoltre esperienze in business analysis, servizi finanziari, progetti bancari, tecnologia, iniziative connesse all'AI, prototipi software e workflow AI-enabled. Ogni nome, titolo, stato e esperienza richiede conferma documentale.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6F1E7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132A2A"/>
                <w:sz w:val="28"/>
              </w:rPr>
              <w:t>Punto di forza: collegare business, finanza, tecnologia e problema utente, costruendo pubblicamente senza inventare competenze.</w:t>
            </w:r>
          </w:p>
        </w:tc>
      </w:tr>
    </w:tbl>
    <w:p>
      <w:pPr>
        <w:spacing w:after="0"/>
      </w:pPr>
    </w:p>
    <w:p>
      <w:pPr>
        <w:pStyle w:val="Heading2"/>
      </w:pPr>
      <w:r>
        <w:t>Competenze da aggiungere</w:t>
      </w:r>
    </w:p>
    <w:p>
      <w:pPr>
        <w:pStyle w:val="ListBullet"/>
        <w:spacing w:after="60"/>
        <w:ind w:left="255" w:hanging="102"/>
      </w:pPr>
      <w:r>
        <w:t>lead geospatial e routing;</w:t>
      </w:r>
    </w:p>
    <w:p>
      <w:pPr>
        <w:pStyle w:val="ListBullet"/>
        <w:spacing w:after="60"/>
        <w:ind w:left="255" w:hanging="102"/>
      </w:pPr>
      <w:r>
        <w:t>engineering iOS/Android e backend/data;</w:t>
      </w:r>
    </w:p>
    <w:p>
      <w:pPr>
        <w:pStyle w:val="ListBullet"/>
        <w:spacing w:after="60"/>
        <w:ind w:left="255" w:hanging="102"/>
      </w:pPr>
      <w:r>
        <w:t>product design, ricerca e accessibilità;</w:t>
      </w:r>
    </w:p>
    <w:p>
      <w:pPr>
        <w:pStyle w:val="ListBullet"/>
        <w:spacing w:after="60"/>
        <w:ind w:left="255" w:hanging="102"/>
      </w:pPr>
      <w:r>
        <w:t>community, moderazione e data operations;</w:t>
      </w:r>
    </w:p>
    <w:p>
      <w:pPr>
        <w:pStyle w:val="ListBullet"/>
        <w:spacing w:after="60"/>
        <w:ind w:left="255" w:hanging="102"/>
      </w:pPr>
      <w:r>
        <w:t>supporto legale/privacy/security, assicurativo, finanziario e fundraising.</w:t>
      </w:r>
    </w:p>
    <w:p>
      <w:r>
        <w:t>Il piano non presenta Domenico come senior AI researcher, software architect, geospatial scientist, serial entrepreneur o mobility executive. Governance, documentazione, advisor indipendenti e ownership distribuita mitigano la dipendenza dal singolo fondatore.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10</w:t>
      </w:r>
    </w:p>
    <w:p>
      <w:pPr>
        <w:pStyle w:val="Heading1"/>
      </w:pPr>
      <w:r>
        <w:t>Funding ed equity crowdfunding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819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Elemento Base</w:t>
            </w:r>
          </w:p>
        </w:tc>
        <w:tc>
          <w:tcPr>
            <w:tcW w:type="dxa" w:w="4592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Ipotesi</w:t>
            </w:r>
          </w:p>
        </w:tc>
      </w:tr>
      <w:t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Target lordo cumulativo 2026–29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€5,9m</w:t>
            </w:r>
          </w:p>
        </w:tc>
      </w:tr>
      <w:t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Costi transazione/campagna stimati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€295k · 5%</w:t>
            </w:r>
          </w:p>
        </w:tc>
      </w:tr>
      <w:t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Proventi netti cumulativi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€5,6m</w:t>
            </w:r>
          </w:p>
        </w:tc>
      </w:tr>
      <w:t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Tranche iniziale Q4 2026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€1,5m</w:t>
            </w:r>
          </w:p>
        </w:tc>
      </w:tr>
      <w:t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Follow-on condizionale Q2 2028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€4,1m</w:t>
            </w:r>
          </w:p>
        </w:tc>
      </w:tr>
      <w:tr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Equity cumulativa illustrativa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22%–32%</w:t>
            </w:r>
          </w:p>
        </w:tc>
      </w:tr>
    </w:tbl>
    <w:p>
      <w:pPr>
        <w:spacing w:after="0"/>
      </w:pPr>
    </w:p>
    <w:p>
      <w:r>
        <w:t>€5,6m non è una singola campagna iniziale: il modello prevede €1,5m netti di pre-seed e €4,1m di follow-on solo dopo milestone. Valutazione ed equity sono intervalli illustrativi, non termini approvati.</w:t>
      </w:r>
    </w:p>
    <w:p>
      <w:pPr>
        <w:pStyle w:val="Heading2"/>
      </w:pPr>
      <w:r>
        <w:t>Readiness crowdfunding</w:t>
      </w:r>
    </w:p>
    <w:p>
      <w:pPr>
        <w:pStyle w:val="ListBullet"/>
        <w:spacing w:after="60"/>
        <w:ind w:left="255" w:hanging="102"/>
      </w:pPr>
      <w:r>
        <w:t>società, cap table, IP, conti e governance verificati;</w:t>
      </w:r>
    </w:p>
    <w:p>
      <w:pPr>
        <w:pStyle w:val="ListBullet"/>
        <w:spacing w:after="60"/>
        <w:ind w:left="255" w:hanging="102"/>
      </w:pPr>
      <w:r>
        <w:t>provider autorizzato, consulenza legale/fiscale e documentazione d'offerta;</w:t>
      </w:r>
    </w:p>
    <w:p>
      <w:pPr>
        <w:pStyle w:val="ListBullet"/>
        <w:spacing w:after="60"/>
        <w:ind w:left="255" w:hanging="102"/>
      </w:pPr>
      <w:r>
        <w:t>metodo di valutazione, diritti, diluizione e data room approvati;</w:t>
      </w:r>
    </w:p>
    <w:p>
      <w:pPr>
        <w:pStyle w:val="ListBullet"/>
        <w:spacing w:after="60"/>
        <w:ind w:left="255" w:hanging="102"/>
      </w:pPr>
      <w:r>
        <w:t>anchor interest, audience reale e piano post-campagna;</w:t>
      </w:r>
    </w:p>
    <w:p>
      <w:pPr>
        <w:pStyle w:val="ListBullet"/>
        <w:spacing w:after="60"/>
        <w:ind w:left="255" w:hanging="102"/>
      </w:pPr>
      <w:r>
        <w:t>scenario di fallimento o ritardo senza spendere capitale non disponibile.</w:t>
      </w:r>
    </w:p>
    <w:p>
      <w:r>
        <w:t>Il Regolamento (UE) 2020/1503 disciplina i servizi coperti e include una soglia di €5m su 12 mesi. Applicazione, struttura della raccolta e comunicazioni richiedono conferma aggiornata da counsel italiano e piattaforma autorizzata.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11</w:t>
      </w:r>
    </w:p>
    <w:p>
      <w:pPr>
        <w:pStyle w:val="Heading1"/>
      </w:pPr>
      <w:r>
        <w:t>Proiezioni finanziarie</w:t>
      </w:r>
    </w:p>
    <w:p>
      <w:pPr>
        <w:pStyle w:val="Subtitle"/>
      </w:pPr>
      <w:r>
        <w:rPr>
          <w:rFonts w:ascii="Arial" w:hAnsi="Arial"/>
          <w:color w:val="0D8B73"/>
          <w:sz w:val="22"/>
        </w:rPr>
        <w:t>Scenario Base · stima gestionale, non forecast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134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Anno</w:t>
            </w:r>
          </w:p>
        </w:tc>
        <w:tc>
          <w:tcPr>
            <w:tcW w:type="dxa" w:w="2268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Ricavi operativi</w:t>
            </w:r>
          </w:p>
        </w:tc>
        <w:tc>
          <w:tcPr>
            <w:tcW w:type="dxa" w:w="2268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Costi operativi</w:t>
            </w:r>
          </w:p>
        </w:tc>
        <w:tc>
          <w:tcPr>
            <w:tcW w:type="dxa" w:w="2268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Cash flow operativo</w:t>
            </w:r>
          </w:p>
        </w:tc>
        <w:tc>
          <w:tcPr>
            <w:tcW w:type="dxa" w:w="1474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Contratti attivi Q4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2027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€174k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€810k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€-636k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5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2028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€716k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€1,8m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€-1,1m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18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2029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€2,1m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€3,9m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€-1,7m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48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8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-financial-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627D79"/>
          <w:sz w:val="15"/>
        </w:rPr>
        <w:t>Ricavi, costi e cassa provengono dal modello finanziario trimestrale verificato.</w:t>
      </w:r>
    </w:p>
    <w:p>
      <w:pPr>
        <w:pStyle w:val="ListBullet"/>
        <w:spacing w:after="60"/>
        <w:ind w:left="255" w:hanging="102"/>
      </w:pPr>
      <w:r>
        <w:t>Cassa finale Q4 2029: €2,0m.</w:t>
      </w:r>
    </w:p>
    <w:p>
      <w:pPr>
        <w:pStyle w:val="ListBullet"/>
        <w:spacing w:after="60"/>
        <w:ind w:left="255" w:hanging="102"/>
      </w:pPr>
      <w:r>
        <w:t>Runway indicativa Q4 2029: 12.1 mesi.</w:t>
      </w:r>
    </w:p>
    <w:p>
      <w:pPr>
        <w:pStyle w:val="ListBullet"/>
        <w:spacing w:after="60"/>
        <w:ind w:left="255" w:hanging="102"/>
      </w:pPr>
      <w:r>
        <w:t>Finanziamenti e ricavi sono colonne separate; i grant restano distinguibili.</w:t>
      </w:r>
    </w:p>
    <w:p>
      <w:pPr>
        <w:pStyle w:val="ListBullet"/>
        <w:spacing w:after="60"/>
        <w:ind w:left="255" w:hanging="102"/>
      </w:pPr>
      <w:r>
        <w:t>Founder compensation inclusa nel payroll; nessun lavoro gratuito indefinito.</w:t>
      </w:r>
    </w:p>
    <w:p>
      <w:r>
        <w:t>Le traiettorie dipendono da MAU, conversione, contratti, costi provider, hiring e timing raccolta non validati. Il workbook contiene formule, fonti, assunzioni e check.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12</w:t>
      </w:r>
    </w:p>
    <w:p>
      <w:pPr>
        <w:pStyle w:val="Heading1"/>
      </w:pPr>
      <w:r>
        <w:t>Uso dei fondi e rischi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-use-of-fun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3402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Rischio prioritario</w:t>
            </w:r>
          </w:p>
        </w:tc>
        <w:tc>
          <w:tcPr>
            <w:tcW w:type="dxa" w:w="6009"/>
            <w:shd w:fill="132A2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Mitigazione / gate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Domanda ripetuta debole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Cohort e pilot prima della scala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Dati scarsi, falsi o obsoleti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Provenienza, unknown coverage, expiry e audit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Provider costoso o non fedele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PoC, quote, contratti portabili e notifica degrado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Gap tecnico e founder dependency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Senior hire, advisor, governance e ownership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Privacy, licenze e liability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color w:val="344443"/>
                <w:sz w:val="16"/>
              </w:rPr>
              <w:t>Minimizzazione, registri fonte, claims review, Article 35 assessment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Crowdfunding fallisce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shd w:fill="F4F6F5"/>
          </w:tcPr>
          <w:p>
            <w:pPr>
              <w:spacing w:after="0"/>
            </w:pPr>
            <w:r>
              <w:rPr>
                <w:color w:val="344443"/>
                <w:sz w:val="16"/>
              </w:rPr>
              <w:t>Scope ridotto, alternative e nessuna spesa su capitale non raccolto</w:t>
            </w:r>
          </w:p>
        </w:tc>
      </w:tr>
    </w:tbl>
    <w:p>
      <w:pPr>
        <w:spacing w:after="0"/>
      </w:pPr>
    </w:p>
    <w:p>
      <w:r>
        <w:t>La riserva commerciale non è un budget da spendere automaticamente. Ogni incremento in paid acquisition, automotive, seconda piattaforma o copertura geografica richiede evidenza e autorizzazione.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F36C4F"/>
          <w:sz w:val="16"/>
        </w:rPr>
        <w:t>13</w:t>
      </w:r>
    </w:p>
    <w:p>
      <w:pPr>
        <w:pStyle w:val="Heading1"/>
      </w:pPr>
      <w:r>
        <w:t>Proposta di investimento</w:t>
      </w:r>
    </w:p>
    <w:p>
      <w:pPr>
        <w:pStyle w:val="Subtitle"/>
      </w:pPr>
      <w:r>
        <w:rPr>
          <w:rFonts w:ascii="Arial" w:hAnsi="Arial"/>
          <w:color w:val="0D8B73"/>
          <w:sz w:val="22"/>
        </w:rPr>
        <w:t>Capitale milestone-based per quattro prove</w:t>
      </w:r>
    </w:p>
    <w:p>
      <w:pPr>
        <w:pStyle w:val="ListBullet"/>
        <w:spacing w:after="60"/>
        <w:ind w:left="255" w:hanging="102"/>
      </w:pPr>
      <w:r>
        <w:t>Caso d'uso concreto e prototipo open source già funzionante.</w:t>
      </w:r>
    </w:p>
    <w:p>
      <w:pPr>
        <w:pStyle w:val="ListBullet"/>
        <w:spacing w:after="60"/>
        <w:ind w:left="255" w:hanging="102"/>
      </w:pPr>
      <w:r>
        <w:t>Opportunità di piattaforma più ampia, con AI confinata e routing spiegabile.</w:t>
      </w:r>
    </w:p>
    <w:p>
      <w:pPr>
        <w:pStyle w:val="ListBullet"/>
        <w:spacing w:after="60"/>
        <w:ind w:left="255" w:hanging="102"/>
      </w:pPr>
      <w:r>
        <w:t>Percorsi di ricavo consumer, fleet, pubblico e API, ancora da validare.</w:t>
      </w:r>
    </w:p>
    <w:p>
      <w:pPr>
        <w:pStyle w:val="ListBullet"/>
        <w:spacing w:after="60"/>
        <w:ind w:left="255" w:hanging="102"/>
      </w:pPr>
      <w:r>
        <w:t>Community come rete di qualità solo con moderazione e provenienza misurabili.</w:t>
      </w:r>
    </w:p>
    <w:p>
      <w:pPr>
        <w:pStyle w:val="ListBullet"/>
        <w:spacing w:after="60"/>
        <w:ind w:left="255" w:hanging="102"/>
      </w:pPr>
      <w:r>
        <w:t>Espansione regionale e automotive subordinata a gate, non promessa.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6F1E7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132A2A"/>
                <w:sz w:val="28"/>
              </w:rPr>
              <w:t>Investire ora significa finanziare evidenza: comportamento, dati, delivery ed economia.</w:t>
            </w:r>
          </w:p>
        </w:tc>
      </w:tr>
    </w:tbl>
    <w:p>
      <w:pPr>
        <w:spacing w:after="0"/>
      </w:pPr>
    </w:p>
    <w:p>
      <w:pPr>
        <w:pStyle w:val="Heading2"/>
      </w:pPr>
      <w:r>
        <w:t>Disclaimer</w:t>
      </w:r>
    </w:p>
    <w:p>
      <w:r>
        <w:t>Questo documento è una bozza strategica di lavoro, non un documento di offerta pubblica né consulenza finanziaria. Le proiezioni sono stime basate su assunzioni e i risultati effettivi possono differire materialmente. Equity crowdfunding e ogni investimento richiedono preparazione legale, regolamentare, societaria, fiscale e finanziaria; investire comporta rischio. Marchi, naming, domini, società, profilo fondatore e termini economici restano soggetti a verifica e approvazione.</w:t>
      </w:r>
    </w:p>
    <w:p>
      <w:pPr>
        <w:pStyle w:val="Heading2"/>
      </w:pPr>
      <w:r>
        <w:t>Stato delle verifiche</w:t>
      </w:r>
    </w:p>
    <w:p>
      <w:r>
        <w:t>Il codice e i documenti tecnici supportano il perimetro della beta. Mercato, disponibilità a pagare, dati nazionali, provider, costi, team, autorizzazioni automotive, crowdfunding, valutazione e biografia non sono ancora verificati per pubblicazione.</w:t>
      </w:r>
    </w:p>
    <w:p>
      <w:pPr>
        <w:pStyle w:val="Heading2"/>
      </w:pPr>
      <w:r>
        <w:t>Contatti</w:t>
      </w:r>
    </w:p>
    <w:p>
      <w:r>
        <w:t>Founder: Domenico Campanella Scali — contatto professionale e fotografia da aggiungere dopo approvazione. Repository: github.com/campsh98-creator/Lastrico</w:t>
      </w:r>
    </w:p>
    <w:p>
      <w:pPr>
        <w:jc w:val="center"/>
      </w:pPr>
      <w:r>
        <w:rPr>
          <w:b/>
          <w:color w:val="0D8B73"/>
          <w:sz w:val="30"/>
        </w:rPr>
        <w:br/>
        <w:t>MOTIA</w:t>
        <w:br/>
        <w:t>Routes shaped around you.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27D79"/>
        <w:sz w:val="15"/>
      </w:rPr>
      <w:t xml:space="preserve">Motia · Investor Working Draft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27D79"/>
        <w:sz w:val="15"/>
      </w:rPr>
      <w:t>MOTIA   ·   Investor Working Draft   ·  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rial" w:hAnsi="Arial"/>
      <w:color w:val="3444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32A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D8B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32A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20"/>
      <w:contextualSpacing/>
    </w:pPr>
    <w:rPr>
      <w:rFonts w:asciiTheme="majorHAnsi" w:eastAsiaTheme="majorEastAsia" w:hAnsiTheme="majorHAnsi" w:cstheme="majorBidi" w:ascii="Arial" w:hAnsi="Arial"/>
      <w:b/>
      <w:color w:val="132A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MOTIA — Business Plan 2026–2029</dc:title>
  <dc:subject>Investor Working Draft</dc:subject>
  <dc:creator>Domenico Campanella Scali — founder verification required</dc:creator>
  <cp:keywords>Motia, Lastrico, routing intelligence, business plan, mobility</cp:keywords>
  <dc:description>Version 1.0 — July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