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Georgia" w:hAnsi="Georgia"/>
          <w:b/>
          <w:color w:val="1E3A8A"/>
          <w:sz w:val="14"/>
        </w:rPr>
        <w:t>AI.135 APPLIED AI IN BUSINESS RESEARCH // EXECUTIVE RESEARCH DASHBOARD USER GUIDE</w:t>
        <w:br/>
      </w:r>
      <w:r>
        <w:rPr>
          <w:rFonts w:ascii="Georgia" w:hAnsi="Georgia"/>
          <w:b/>
          <w:color w:val="111827"/>
          <w:sz w:val="23"/>
        </w:rPr>
        <w:t>QuickBite Technologies: Multi-Jurisdictional Expansion &amp; Capital Strategy</w:t>
      </w:r>
    </w:p>
    <w:tbl>
      <w:tblPr>
        <w:tblW w:type="auto" w:w="0"/>
        <w:jc w:val="center"/>
        <w:tblLayout w:type="fixed"/>
        <w:tblLook w:firstColumn="1" w:firstRow="1" w:lastColumn="0" w:lastRow="0" w:noHBand="0" w:noVBand="1" w:val="04A0"/>
      </w:tblPr>
      <w:tblGrid>
        <w:gridCol w:w="5616"/>
        <w:gridCol w:w="5616"/>
      </w:tblGrid>
      <w:tr>
        <w:tc>
          <w:tcPr>
            <w:tcW w:type="dxa" w:w="5587"/>
            <w:shd w:fill="F8FAFC"/>
            <w:tcMar>
              <w:top w:w="20" w:type="dxa"/>
              <w:bottom w:w="20" w:type="dxa"/>
              <w:left w:w="40" w:type="dxa"/>
              <w:right w:w="40" w:type="dxa"/>
            </w:tcMar>
          </w:tcPr>
          <w:p>
            <w:pPr>
              <w:spacing w:before="0" w:after="0"/>
            </w:pPr>
            <w:r>
              <w:rPr>
                <w:rFonts w:ascii="Arial" w:hAnsi="Arial"/>
                <w:b/>
                <w:color w:val="374151"/>
                <w:sz w:val="13"/>
              </w:rPr>
              <w:t>PRIMARY RECIPIENTS: Helene Chen (CEO), José Rodriguez (CFO)</w:t>
            </w:r>
          </w:p>
        </w:tc>
        <w:tc>
          <w:tcPr>
            <w:tcW w:type="dxa" w:w="5587"/>
            <w:shd w:fill="F8FAFC"/>
            <w:tcMar>
              <w:top w:w="20" w:type="dxa"/>
              <w:bottom w:w="20" w:type="dxa"/>
              <w:left w:w="40" w:type="dxa"/>
              <w:right w:w="40" w:type="dxa"/>
            </w:tcMar>
          </w:tcPr>
          <w:p>
            <w:pPr>
              <w:spacing w:before="0" w:after="0"/>
            </w:pPr>
            <w:r>
              <w:rPr>
                <w:rFonts w:ascii="Arial" w:hAnsi="Arial"/>
                <w:b/>
                <w:color w:val="374151"/>
                <w:sz w:val="13"/>
              </w:rPr>
              <w:t>DATE: September 2026</w:t>
            </w:r>
          </w:p>
        </w:tc>
      </w:tr>
      <w:tr>
        <w:tc>
          <w:tcPr>
            <w:tcW w:type="dxa" w:w="5587"/>
            <w:shd w:fill="F8FAFC"/>
            <w:tcMar>
              <w:top w:w="20" w:type="dxa"/>
              <w:bottom w:w="20" w:type="dxa"/>
              <w:left w:w="40" w:type="dxa"/>
              <w:right w:w="40" w:type="dxa"/>
            </w:tcMar>
          </w:tcPr>
          <w:p>
            <w:pPr>
              <w:spacing w:before="0" w:after="0"/>
            </w:pPr>
            <w:r>
              <w:rPr>
                <w:rFonts w:ascii="Arial" w:hAnsi="Arial"/>
                <w:b/>
                <w:color w:val="374151"/>
                <w:sz w:val="13"/>
              </w:rPr>
              <w:t>AUTHOR: Jason Orozco Zarco, Chief Strategy Officer</w:t>
            </w:r>
          </w:p>
        </w:tc>
        <w:tc>
          <w:tcPr>
            <w:tcW w:type="dxa" w:w="5587"/>
            <w:shd w:fill="F8FAFC"/>
            <w:tcMar>
              <w:top w:w="20" w:type="dxa"/>
              <w:bottom w:w="20" w:type="dxa"/>
              <w:left w:w="40" w:type="dxa"/>
              <w:right w:w="40" w:type="dxa"/>
            </w:tcMar>
          </w:tcPr>
          <w:p>
            <w:pPr>
              <w:spacing w:before="0" w:after="0"/>
            </w:pPr>
            <w:r>
              <w:rPr>
                <w:rFonts w:ascii="Arial" w:hAnsi="Arial"/>
                <w:b/>
                <w:color w:val="374151"/>
                <w:sz w:val="13"/>
              </w:rPr>
              <w:t>ORGANIZATION: QuickBite Technologies, Inc. (Austin, TX)</w:t>
            </w:r>
          </w:p>
        </w:tc>
      </w:tr>
    </w:tbl>
    <w:p>
      <w:pPr>
        <w:spacing w:before="60" w:after="20"/>
      </w:pPr>
      <w:r>
        <w:rPr>
          <w:rFonts w:ascii="Georgia" w:hAnsi="Georgia"/>
          <w:b/>
          <w:color w:val="1E3A8A"/>
          <w:sz w:val="16"/>
        </w:rPr>
        <w:t>PART I — EXECUTIVE ORIENTATION: THE THREE CORE QUESTIONS ANSWERED</w:t>
      </w:r>
    </w:p>
    <w:p>
      <w:pPr>
        <w:spacing w:before="0" w:after="20" w:line="252" w:lineRule="auto"/>
      </w:pPr>
      <w:r>
        <w:rPr>
          <w:sz w:val="13"/>
        </w:rPr>
        <w:t>Capital allocation requires discipline. Dashboards communicate decisive capital allocation choices rather than superficial exploratory curiosity. Helene Chen and José Rodriguez require direct operational clarity for the board. Words move capital. Text hides risk. This interactive system synthesizes five months of empirical research across Assignments 1 through 4 into a unified planning engine. Leadership must resolve three core questions governing our Series A capital deployment:</w:t>
      </w:r>
    </w:p>
    <w:tbl>
      <w:tblPr>
        <w:tblW w:type="auto" w:w="0"/>
        <w:jc w:val="center"/>
        <w:tblLayout w:type="fixed"/>
        <w:tblLook w:firstColumn="1" w:firstRow="1" w:lastColumn="0" w:lastRow="0" w:noHBand="0" w:noVBand="1" w:val="04A0"/>
        <w:tblBorders>
          <w:top w:val="single" w:sz="5" w:space="0" w:color="111827"/>
          <w:bottom w:val="single" w:sz="5" w:space="0" w:color="111827"/>
          <w:left w:val="none"/>
          <w:right w:val="none"/>
          <w:insideH w:val="single" w:sz="3" w:space="0" w:color="E5E7EB"/>
          <w:insideV w:val="none"/>
        </w:tblBorders>
      </w:tblPr>
      <w:tblGrid>
        <w:gridCol w:w="3744"/>
        <w:gridCol w:w="3744"/>
        <w:gridCol w:w="3744"/>
      </w:tblGrid>
      <w:tr>
        <w:tc>
          <w:tcPr>
            <w:tcW w:type="dxa" w:w="1944"/>
            <w:shd w:fill="1E3A8A"/>
            <w:tcMar>
              <w:top w:w="25" w:type="dxa"/>
              <w:bottom w:w="25" w:type="dxa"/>
              <w:left w:w="40" w:type="dxa"/>
              <w:right w:w="40" w:type="dxa"/>
            </w:tcMar>
          </w:tcPr>
          <w:p>
            <w:pPr>
              <w:spacing w:before="0" w:after="0"/>
            </w:pPr>
            <w:r>
              <w:rPr>
                <w:rFonts w:ascii="Arial" w:hAnsi="Arial"/>
                <w:b/>
                <w:color w:val="FFFFFF"/>
                <w:sz w:val="13"/>
              </w:rPr>
              <w:t>Executive Question</w:t>
            </w:r>
          </w:p>
        </w:tc>
        <w:tc>
          <w:tcPr>
            <w:tcW w:type="dxa" w:w="6912"/>
            <w:shd w:fill="1E3A8A"/>
            <w:tcMar>
              <w:top w:w="25" w:type="dxa"/>
              <w:bottom w:w="25" w:type="dxa"/>
              <w:left w:w="40" w:type="dxa"/>
              <w:right w:w="40" w:type="dxa"/>
            </w:tcMar>
          </w:tcPr>
          <w:p>
            <w:pPr>
              <w:spacing w:before="0" w:after="0"/>
            </w:pPr>
            <w:r>
              <w:rPr>
                <w:rFonts w:ascii="Arial" w:hAnsi="Arial"/>
                <w:b/>
                <w:color w:val="FFFFFF"/>
                <w:sz w:val="13"/>
              </w:rPr>
              <w:t>Empirical Finding &amp; Strategic Synthesis</w:t>
            </w:r>
          </w:p>
        </w:tc>
        <w:tc>
          <w:tcPr>
            <w:tcW w:type="dxa" w:w="2318"/>
            <w:shd w:fill="1E3A8A"/>
            <w:tcMar>
              <w:top w:w="25" w:type="dxa"/>
              <w:bottom w:w="25" w:type="dxa"/>
              <w:left w:w="40" w:type="dxa"/>
              <w:right w:w="40" w:type="dxa"/>
            </w:tcMar>
          </w:tcPr>
          <w:p>
            <w:pPr>
              <w:spacing w:before="0" w:after="0"/>
            </w:pPr>
            <w:r>
              <w:rPr>
                <w:rFonts w:ascii="Arial" w:hAnsi="Arial"/>
                <w:b/>
                <w:color w:val="FFFFFF"/>
                <w:sz w:val="13"/>
              </w:rPr>
              <w:t>Confidence &amp; Source Anchor</w:t>
            </w:r>
          </w:p>
        </w:tc>
      </w:tr>
      <w:tr>
        <w:tc>
          <w:tcPr>
            <w:tcW w:type="dxa" w:w="1944"/>
            <w:shd w:fill="FFFFFF"/>
            <w:tcMar>
              <w:top w:w="20" w:type="dxa"/>
              <w:bottom w:w="20" w:type="dxa"/>
              <w:left w:w="40" w:type="dxa"/>
              <w:right w:w="40" w:type="dxa"/>
            </w:tcMar>
          </w:tcPr>
          <w:p>
            <w:pPr>
              <w:spacing w:before="0" w:after="0" w:line="250" w:lineRule="auto"/>
            </w:pPr>
            <w:r>
              <w:rPr>
                <w:rFonts w:ascii="Arial" w:hAnsi="Arial"/>
                <w:b/>
                <w:color w:val="1F2937"/>
                <w:sz w:val="12"/>
              </w:rPr>
              <w:t>1. What is each panel telling me?</w:t>
            </w:r>
          </w:p>
        </w:tc>
        <w:tc>
          <w:tcPr>
            <w:tcW w:type="dxa" w:w="6912"/>
            <w:shd w:fill="FFFFFF"/>
            <w:tcMar>
              <w:top w:w="20" w:type="dxa"/>
              <w:bottom w:w="20" w:type="dxa"/>
              <w:left w:w="40" w:type="dxa"/>
              <w:right w:w="40" w:type="dxa"/>
            </w:tcMar>
          </w:tcPr>
          <w:p>
            <w:pPr>
              <w:spacing w:before="0" w:after="0" w:line="250" w:lineRule="auto"/>
            </w:pPr>
            <w:r>
              <w:rPr>
                <w:rFonts w:ascii="Arial" w:hAnsi="Arial"/>
                <w:color w:val="1F2937"/>
                <w:sz w:val="12"/>
              </w:rPr>
              <w:t>Panel 1 establishes our tri-model AI architecture: ChatGPT for conversion funnels, DeepSeek for compliance checklists, and Gemini for liability audits. Data matters. Panel 2 confirms a $6.8M ARR expansion opportunity in Dallas-Fort Worth (+112% run-rate) producing a +$4.05 net contribution margin per order. Panel 3 validates Texas as a 9.4/10 regulatory sanctuary, whereas California (4.2/10) produces a prohibitive -$0.45 net loss per delivery under Prop 22 wage mandates. Panel 4 coordinates our 18-month phased roadmap.</w:t>
            </w:r>
          </w:p>
        </w:tc>
        <w:tc>
          <w:tcPr>
            <w:tcW w:type="dxa" w:w="2318"/>
            <w:shd w:fill="FFFFFF"/>
            <w:tcMar>
              <w:top w:w="20" w:type="dxa"/>
              <w:bottom w:w="20" w:type="dxa"/>
              <w:left w:w="40" w:type="dxa"/>
              <w:right w:w="40" w:type="dxa"/>
            </w:tcMar>
          </w:tcPr>
          <w:p>
            <w:pPr>
              <w:spacing w:before="0" w:after="0" w:line="250" w:lineRule="auto"/>
            </w:pPr>
            <w:r>
              <w:rPr>
                <w:rFonts w:ascii="Arial" w:hAnsi="Arial"/>
                <w:b/>
                <w:color w:val="1F2937"/>
                <w:sz w:val="12"/>
              </w:rPr>
              <w:t>HIGH (Integrated Synthesis across HW1–HW4)</w:t>
            </w:r>
          </w:p>
        </w:tc>
      </w:tr>
      <w:tr>
        <w:tc>
          <w:tcPr>
            <w:tcW w:type="dxa" w:w="1944"/>
            <w:shd w:fill="F8FAFC"/>
            <w:tcMar>
              <w:top w:w="20" w:type="dxa"/>
              <w:bottom w:w="20" w:type="dxa"/>
              <w:left w:w="40" w:type="dxa"/>
              <w:right w:w="40" w:type="dxa"/>
            </w:tcMar>
          </w:tcPr>
          <w:p>
            <w:pPr>
              <w:spacing w:before="0" w:after="0" w:line="250" w:lineRule="auto"/>
            </w:pPr>
            <w:r>
              <w:rPr>
                <w:rFonts w:ascii="Arial" w:hAnsi="Arial"/>
                <w:b/>
                <w:color w:val="1F2937"/>
                <w:sz w:val="12"/>
              </w:rPr>
              <w:t>2. How confident should I be in this data?</w:t>
            </w:r>
          </w:p>
        </w:tc>
        <w:tc>
          <w:tcPr>
            <w:tcW w:type="dxa" w:w="6912"/>
            <w:shd w:fill="F8FAFC"/>
            <w:tcMar>
              <w:top w:w="20" w:type="dxa"/>
              <w:bottom w:w="20" w:type="dxa"/>
              <w:left w:w="40" w:type="dxa"/>
              <w:right w:w="40" w:type="dxa"/>
            </w:tcMar>
          </w:tcPr>
          <w:p>
            <w:pPr>
              <w:spacing w:before="0" w:after="0" w:line="250" w:lineRule="auto"/>
            </w:pPr>
            <w:r>
              <w:rPr>
                <w:rFonts w:ascii="Arial" w:hAnsi="Arial"/>
                <w:color w:val="1F2937"/>
                <w:sz w:val="12"/>
              </w:rPr>
              <w:t>Confidence is high. Every financial metric is reconciled against audited SEC Form 10-K filings from DoorDash (CIK 0001792789) and Uber Technologies (CIK 0001543151). Labor standards rest directly on Texas Labor Code § 201.041 and 25 TAC § 228. Moderate confidence applies to municipal preemption litigation surrounding Texas HB 2127, where appellate challenges require active legal monitoring.</w:t>
            </w:r>
          </w:p>
        </w:tc>
        <w:tc>
          <w:tcPr>
            <w:tcW w:type="dxa" w:w="2318"/>
            <w:shd w:fill="F8FAFC"/>
            <w:tcMar>
              <w:top w:w="20" w:type="dxa"/>
              <w:bottom w:w="20" w:type="dxa"/>
              <w:left w:w="40" w:type="dxa"/>
              <w:right w:w="40" w:type="dxa"/>
            </w:tcMar>
          </w:tcPr>
          <w:p>
            <w:pPr>
              <w:spacing w:before="0" w:after="0" w:line="250" w:lineRule="auto"/>
            </w:pPr>
            <w:r>
              <w:rPr>
                <w:rFonts w:ascii="Arial" w:hAnsi="Arial"/>
                <w:b/>
                <w:color w:val="1F2937"/>
                <w:sz w:val="12"/>
              </w:rPr>
              <w:t>HIGH on 10-Ks &amp; Statutes; MEDIUM on Texas HB 2127 Court Flux</w:t>
            </w:r>
          </w:p>
        </w:tc>
      </w:tr>
      <w:tr>
        <w:tc>
          <w:tcPr>
            <w:tcW w:type="dxa" w:w="1944"/>
            <w:shd w:fill="FFFFFF"/>
            <w:tcMar>
              <w:top w:w="20" w:type="dxa"/>
              <w:bottom w:w="20" w:type="dxa"/>
              <w:left w:w="40" w:type="dxa"/>
              <w:right w:w="40" w:type="dxa"/>
            </w:tcMar>
          </w:tcPr>
          <w:p>
            <w:pPr>
              <w:spacing w:before="0" w:after="0" w:line="250" w:lineRule="auto"/>
            </w:pPr>
            <w:r>
              <w:rPr>
                <w:rFonts w:ascii="Arial" w:hAnsi="Arial"/>
                <w:b/>
                <w:color w:val="1F2937"/>
                <w:sz w:val="12"/>
              </w:rPr>
              <w:t>3. What should I do first?</w:t>
            </w:r>
          </w:p>
        </w:tc>
        <w:tc>
          <w:tcPr>
            <w:tcW w:type="dxa" w:w="6912"/>
            <w:shd w:fill="FFFFFF"/>
            <w:tcMar>
              <w:top w:w="20" w:type="dxa"/>
              <w:bottom w:w="20" w:type="dxa"/>
              <w:left w:w="40" w:type="dxa"/>
              <w:right w:w="40" w:type="dxa"/>
            </w:tcMar>
          </w:tcPr>
          <w:p>
            <w:pPr>
              <w:spacing w:before="0" w:after="0" w:line="250" w:lineRule="auto"/>
            </w:pPr>
            <w:r>
              <w:rPr>
                <w:rFonts w:ascii="Arial" w:hAnsi="Arial"/>
                <w:color w:val="1F2937"/>
                <w:sz w:val="12"/>
              </w:rPr>
              <w:t>Act immediately. Authorize capital deployment of our $2.0M uncommitted Series A balance across two tranches: deploy $800,000 into a Dallas B2B corporate catering beachhead ($85+ AOV, 80%+ contracted retention) while reserving $1,200,000 to engineer QuickBite's Austin AI batch dispatch engine. Adopt standardized courier agreements governed by the Federal Arbitration Act (FAA) to neutralize municipal labor litigation.</w:t>
            </w:r>
          </w:p>
        </w:tc>
        <w:tc>
          <w:tcPr>
            <w:tcW w:type="dxa" w:w="2318"/>
            <w:shd w:fill="FFFFFF"/>
            <w:tcMar>
              <w:top w:w="20" w:type="dxa"/>
              <w:bottom w:w="20" w:type="dxa"/>
              <w:left w:w="40" w:type="dxa"/>
              <w:right w:w="40" w:type="dxa"/>
            </w:tcMar>
          </w:tcPr>
          <w:p>
            <w:pPr>
              <w:spacing w:before="0" w:after="0" w:line="250" w:lineRule="auto"/>
            </w:pPr>
            <w:r>
              <w:rPr>
                <w:rFonts w:ascii="Arial" w:hAnsi="Arial"/>
                <w:b/>
                <w:color w:val="1F2937"/>
                <w:sz w:val="12"/>
              </w:rPr>
              <w:t>IMMEDIATE ACTION: Board Vote on $2.0M Allocation Plan</w:t>
            </w:r>
          </w:p>
        </w:tc>
      </w:tr>
    </w:tbl>
    <w:p>
      <w:pPr>
        <w:spacing w:before="60" w:after="20"/>
      </w:pPr>
      <w:r>
        <w:rPr>
          <w:rFonts w:ascii="Georgia" w:hAnsi="Georgia"/>
          <w:b/>
          <w:color w:val="1E3A8A"/>
          <w:sz w:val="16"/>
        </w:rPr>
        <w:t>PART II — DASHBOARD COMPONENT ARCHITECTURE &amp; INTERACTIVE NAVIGATION</w:t>
      </w:r>
    </w:p>
    <w:p>
      <w:pPr>
        <w:spacing w:before="20" w:after="20" w:line="250" w:lineRule="auto"/>
      </w:pPr>
      <w:r>
        <w:rPr>
          <w:rFonts w:ascii="Arial" w:hAnsi="Arial"/>
          <w:b/>
          <w:color w:val="0F172A"/>
          <w:sz w:val="13"/>
        </w:rPr>
        <w:t xml:space="preserve">1. AI Strategy Panel (HW1): </w:t>
      </w:r>
      <w:r>
        <w:rPr>
          <w:rFonts w:ascii="Arial" w:hAnsi="Arial"/>
          <w:color w:val="374151"/>
          <w:sz w:val="12"/>
        </w:rPr>
        <w:t>Toggles between ChatGPT 5.5 Instant, DeepSeek V4 Flash Thinking, and Gemini 3.1 Pro Extended. Testing revealed critical divergence. Displays task scores across quantitative conversion math, UX competitor teardowns, and statutory research. Identifies platform failure modes: Gemini omitted Dallas Delivery Network Company (DNC) operating permits; DeepSeek distorted addressable volume by substituting DFW metro population (8.4M) for Dallas proper (1.3M). Enforces COSTAR prompting architecture with copyable system prompts.</w:t>
      </w:r>
    </w:p>
    <w:p>
      <w:pPr>
        <w:spacing w:before="20" w:after="20" w:line="250" w:lineRule="auto"/>
      </w:pPr>
      <w:r>
        <w:rPr>
          <w:rFonts w:ascii="Arial" w:hAnsi="Arial"/>
          <w:b/>
          <w:color w:val="0F172A"/>
          <w:sz w:val="13"/>
        </w:rPr>
        <w:t xml:space="preserve">2. Market Opportunity Meter (HW3): </w:t>
      </w:r>
      <w:r>
        <w:rPr>
          <w:rFonts w:ascii="Arial" w:hAnsi="Arial"/>
          <w:color w:val="374151"/>
          <w:sz w:val="12"/>
        </w:rPr>
        <w:t>Features interactive radial SVG gauges modeling DFW market penetration, net take rates, and delivery contribution margins. Unit economics govern survival. Embeds a live sensitivity simulator (AOV $20–$55, throughput 1.4–3.0 drops/hr, commission 10%–22%) recalculating gross margin, 12-month ARR, and post-launch runway. Benchmarks QuickBite against DoorDash (67% share, 13.4% take rate) and Uber Delivery (17.8% take rate) audited SEC filings.</w:t>
      </w:r>
    </w:p>
    <w:p>
      <w:pPr>
        <w:spacing w:before="20" w:after="20" w:line="250" w:lineRule="auto"/>
      </w:pPr>
      <w:r>
        <w:rPr>
          <w:rFonts w:ascii="Arial" w:hAnsi="Arial"/>
          <w:b/>
          <w:color w:val="0F172A"/>
          <w:sz w:val="13"/>
        </w:rPr>
        <w:t xml:space="preserve">3. Expansion Readiness Gauge (HW4): </w:t>
      </w:r>
      <w:r>
        <w:rPr>
          <w:rFonts w:ascii="Arial" w:hAnsi="Arial"/>
          <w:color w:val="374151"/>
          <w:sz w:val="12"/>
        </w:rPr>
        <w:t>Ranks state expansion targets via weighted statutory scoring: Texas (9.4/10), Florida (8.1/10), and California (4.2/10). Jurisdiction dictates cost. Includes interactive weight sliders across Driver Classification (45%), Business Ops &amp; Tax (35%), and Food Safety (20%). Displays our resolution to the Week 9 Contradiction Problem: neutralizing municipal preemption litigation under Texas HB 2127 via FAA-governed arbitration agreements.</w:t>
      </w:r>
    </w:p>
    <w:p>
      <w:pPr>
        <w:spacing w:before="20" w:after="20" w:line="250" w:lineRule="auto"/>
      </w:pPr>
      <w:r>
        <w:rPr>
          <w:rFonts w:ascii="Arial" w:hAnsi="Arial"/>
          <w:b/>
          <w:color w:val="0F172A"/>
          <w:sz w:val="13"/>
        </w:rPr>
        <w:t xml:space="preserve">4. Strategic Recommendations Hub (HW1–HW4): </w:t>
      </w:r>
      <w:r>
        <w:rPr>
          <w:rFonts w:ascii="Arial" w:hAnsi="Arial"/>
          <w:color w:val="374151"/>
          <w:sz w:val="12"/>
        </w:rPr>
        <w:t>Synthesizes research into four prioritized capital actions with explicit confidence ratings (High/Medium). Roadmaps enforce execution. Coordinates an interactive 18-month implementation roadmap across four distinct phases with operational gating criteria. Provides scenario toggle buttons (Bear at $4.9M ARR, Base at $6.8M ARR, Bull at $8.2M ARR) and includes a dedicated 12-minute boardroom presentation mode with speaker notes.</w:t>
      </w:r>
    </w:p>
    <w:p>
      <w:pPr>
        <w:spacing w:before="60" w:after="20"/>
      </w:pPr>
      <w:r>
        <w:rPr>
          <w:rFonts w:ascii="Georgia" w:hAnsi="Georgia"/>
          <w:b/>
          <w:color w:val="1E3A8A"/>
          <w:sz w:val="16"/>
        </w:rPr>
        <w:t>PART III — FORENSIC RESEARCH METHODOLOGY &amp; EVIDENTIARY HIERARCHY (30-POINT RUBRIC ANCHOR)</w:t>
      </w:r>
    </w:p>
    <w:p>
      <w:pPr>
        <w:spacing w:before="20" w:after="20" w:line="250" w:lineRule="auto"/>
      </w:pPr>
      <w:r>
        <w:rPr>
          <w:rFonts w:ascii="Arial" w:hAnsi="Arial"/>
          <w:b/>
          <w:color w:val="0F172A"/>
          <w:sz w:val="13"/>
        </w:rPr>
        <w:t xml:space="preserve">1. VERA Protocol &amp; CRAAP Framework: </w:t>
      </w:r>
      <w:r>
        <w:rPr>
          <w:rFonts w:ascii="Arial" w:hAnsi="Arial"/>
          <w:color w:val="374151"/>
          <w:sz w:val="12"/>
        </w:rPr>
        <w:t>Deployed Verify, Evaluate Currency, Reference Primary, and Assess Jurisdiction across all legal claims. Verification precedes capital. Audited California Proposition 22 in Castellanos v. State of California (2024), confirming contractor status under California Business &amp; Professions Code § 7451. Applied the CRAAP evaluation framework across five sources: Griesbach et al. (Socius, 23/25), IBISWorld OD4328 (23/25), Waters/FT (20/25), Uber Q1 2026 Earnings (19/25, corrected quarterly annualization), and Reddit delivery forums (10/25, excluded).</w:t>
      </w:r>
    </w:p>
    <w:p>
      <w:pPr>
        <w:spacing w:before="20" w:after="20" w:line="250" w:lineRule="auto"/>
      </w:pPr>
      <w:r>
        <w:rPr>
          <w:rFonts w:ascii="Arial" w:hAnsi="Arial"/>
          <w:b/>
          <w:color w:val="0F172A"/>
          <w:sz w:val="13"/>
        </w:rPr>
        <w:t xml:space="preserve">2. SEC Form 10-K Due Diligence Protocol: </w:t>
      </w:r>
      <w:r>
        <w:rPr>
          <w:rFonts w:ascii="Arial" w:hAnsi="Arial"/>
          <w:color w:val="374151"/>
          <w:sz w:val="12"/>
        </w:rPr>
        <w:t>Dissected audited FY2025 Form 10-K filings from DoorDash (CIK 0001792789) and Uber Technologies (CIK 0001543151). Filings reveal truth. Isolated GAAP Recognized Net Revenue from Gross Merchandise Value (GMV) to derive true Net Take Rates (DoorDash 13.4%, Uber Delivery 17.8%). Stripped non-cash stock-based compensation ($1.0B+ in DoorDash) and extracted Item 1A risk factors on city commission caps.</w:t>
      </w:r>
    </w:p>
    <w:p>
      <w:pPr>
        <w:spacing w:before="20" w:after="20" w:line="250" w:lineRule="auto"/>
      </w:pPr>
      <w:r>
        <w:rPr>
          <w:rFonts w:ascii="Arial" w:hAnsi="Arial"/>
          <w:b/>
          <w:color w:val="0F172A"/>
          <w:sz w:val="13"/>
        </w:rPr>
        <w:t xml:space="preserve">3. Triangulation Log &amp; Contradiction Resolution: </w:t>
      </w:r>
      <w:r>
        <w:rPr>
          <w:rFonts w:ascii="Arial" w:hAnsi="Arial"/>
          <w:color w:val="374151"/>
          <w:sz w:val="12"/>
        </w:rPr>
        <w:t>Reconciled conflicting assertions: DoorDash's true market share is 66–67% (Bloomberg Second Measure), not 56% as claimed by unverified AI drafts; Uber Delivery annual gross bookings exceed $90.9B, not $18.7B. Resolved the Week 9 Contradiction Problem: Assignment 3 confirmed high Dallas market opportunity ($6.8M ARR upside), while Assignment 4 identified elevated regulatory friction from Texas HB 2127 municipal preemption litigation. QuickBite resolves this through FAA-governed courier arbitration, algorithmic multi-apping independence, and active municipal docket monitoring.</w:t>
      </w:r>
    </w:p>
    <w:p>
      <w:pPr>
        <w:spacing w:before="20" w:after="20" w:line="250" w:lineRule="auto"/>
      </w:pPr>
      <w:r>
        <w:rPr>
          <w:rFonts w:ascii="Arial" w:hAnsi="Arial"/>
          <w:b/>
          <w:color w:val="0F172A"/>
          <w:sz w:val="13"/>
        </w:rPr>
        <w:t xml:space="preserve">4. Epistemic Limitations &amp; Risk Boundaries: </w:t>
      </w:r>
      <w:r>
        <w:rPr>
          <w:rFonts w:ascii="Arial" w:hAnsi="Arial"/>
          <w:color w:val="374151"/>
          <w:sz w:val="12"/>
        </w:rPr>
        <w:t>Single-shot AI evaluations from July 2026 reflect historical model states; CRAAP scoring contains qualitative judgment; quarterly financial intervals lag rapid market shifts; municipal preemption dockets remain in active judicial review.</w:t>
      </w:r>
    </w:p>
    <w:p>
      <w:pPr>
        <w:spacing w:before="40" w:after="0"/>
      </w:pPr>
      <w:r>
        <w:rPr>
          <w:rFonts w:ascii="Arial" w:hAnsi="Arial"/>
          <w:b/>
          <w:color w:val="4B5563"/>
          <w:sz w:val="12"/>
        </w:rPr>
        <w:t>PRIMARY STATUTORY &amp; REGULATORY CITATIONS AUDITED IN THIS RESEARCH:</w:t>
        <w:br/>
      </w:r>
      <w:r>
        <w:rPr>
          <w:rFonts w:ascii="Arial" w:hAnsi="Arial"/>
          <w:color w:val="6B7280"/>
          <w:sz w:val="11"/>
        </w:rPr>
        <w:t>Tex. Lab. Code § 201.041; Tex. HB 2127; 25 TAC § 228 (TFER); Tex. Tax Code § 151.0242; Fla. Stat. § 443.036(19); Fla. Stat. § 448.110; Fla. Stat. § 212.0596; Fla. Stat. Ch. 500 &amp; Ch. 509; Cal. Bus. &amp; Prof. Code § 7451 (Prop 22; Castellanos, 2024); Cal. Health &amp; Safety Code § 113700+; Cal. AB 2149; Cal. Rev. &amp; Tax Code § 6041 &amp; § 23153; DoorDash, Inc. SEC Form 10-K (CIK 0001792789); Uber Technologies, Inc. SEC Form 10-K (CIK 0001543151).</w:t>
      </w:r>
    </w:p>
    <w:sectPr w:rsidR="00FC693F" w:rsidRPr="0006063C" w:rsidSect="00034616">
      <w:pgSz w:w="12240" w:h="15840"/>
      <w:pgMar w:top="360" w:right="504" w:bottom="360"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1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